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4"/>
          <w:szCs w:val="24"/>
          <w:color w:val="auto"/>
        </w:rPr>
      </w:pPr>
    </w:p>
    <w:p>
      <w:pPr>
        <w:jc w:val="center"/>
        <w:ind w:right="-119"/>
        <w:spacing w:after="0"/>
        <w:tabs>
          <w:tab w:leader="none" w:pos="220" w:val="left"/>
        </w:tabs>
        <w:rPr>
          <w:sz w:val="20"/>
          <w:szCs w:val="20"/>
          <w:color w:val="auto"/>
        </w:rPr>
      </w:pPr>
      <w:r>
        <w:rPr>
          <w:rFonts w:ascii="Arial" w:cs="Arial" w:eastAsia="Arial" w:hAnsi="Arial"/>
          <w:sz w:val="18"/>
          <w:szCs w:val="18"/>
          <w:color w:val="auto"/>
        </w:rPr>
        <w:t>Exchange Act of 1934 (Amendment No.</w:t>
        <w:tab/>
        <w:t>)</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9" w:lineRule="exact"/>
        <w:rPr>
          <w:sz w:val="24"/>
          <w:szCs w:val="24"/>
          <w:color w:val="auto"/>
        </w:rPr>
      </w:pPr>
    </w:p>
    <w:p>
      <w:pPr>
        <w:jc w:val="center"/>
        <w:ind w:left="700"/>
        <w:spacing w:after="0"/>
        <w:rPr>
          <w:sz w:val="20"/>
          <w:szCs w:val="20"/>
          <w:color w:val="auto"/>
        </w:rPr>
      </w:pPr>
      <w:r>
        <w:rPr>
          <w:rFonts w:ascii="Arial" w:cs="Arial" w:eastAsia="Arial" w:hAnsi="Arial"/>
          <w:sz w:val="32"/>
          <w:szCs w:val="32"/>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19050</wp:posOffset>
            </wp:positionV>
            <wp:extent cx="68091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424815</wp:posOffset>
            </wp:positionV>
            <wp:extent cx="68091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160" w:hanging="463"/>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right="60" w:hanging="564"/>
        <w:spacing w:after="0" w:line="277" w:lineRule="auto"/>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1160" w:hanging="463"/>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-4615180</wp:posOffset>
            </wp:positionV>
            <wp:extent cx="6517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-4015105</wp:posOffset>
            </wp:positionV>
            <wp:extent cx="6517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-3295015</wp:posOffset>
            </wp:positionV>
            <wp:extent cx="65176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-2728595</wp:posOffset>
            </wp:positionV>
            <wp:extent cx="65176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-2128520</wp:posOffset>
            </wp:positionV>
            <wp:extent cx="65176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-876300</wp:posOffset>
            </wp:positionV>
            <wp:extent cx="65176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-276225</wp:posOffset>
            </wp:positionV>
            <wp:extent cx="65176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323850</wp:posOffset>
            </wp:positionV>
            <wp:extent cx="65176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320"/>
          </w:cols>
          <w:pgMar w:left="240" w:top="310" w:right="339" w:bottom="208" w:gutter="0" w:footer="0" w:header="0"/>
        </w:sectPr>
      </w:pPr>
    </w:p>
    <w:bookmarkStart w:id="1" w:name="page2"/>
    <w:bookmarkEnd w:id="1"/>
    <w:p>
      <w:pPr>
        <w:ind w:left="564" w:hanging="564"/>
        <w:spacing w:after="0"/>
        <w:tabs>
          <w:tab w:leader="none" w:pos="564"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65176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544195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63"/>
          </w:cols>
          <w:pgMar w:left="1396" w:top="341" w:right="1440" w:bottom="1440" w:gutter="0" w:footer="0" w:header="0"/>
        </w:sectPr>
      </w:pPr>
    </w:p>
    <w:bookmarkStart w:id="2" w:name="page3"/>
    <w:bookmarkEnd w:id="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2533015</wp:posOffset>
            </wp:positionH>
            <wp:positionV relativeFrom="page">
              <wp:posOffset>243205</wp:posOffset>
            </wp:positionV>
            <wp:extent cx="2504440"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04440"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________________________________________________________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u w:val="single" w:color="auto"/>
          <w:color w:val="auto"/>
        </w:rPr>
        <w:t>________________________________________________________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26, 2010</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Annual Meeting of Shareholders of United Community Banks, Inc. will be held on May 26, 2010 at 2:00 p.m. at the Charles R. Clegg Fine Arts Building at Young Harris College, Young Harris, Georgia:</w:t>
      </w:r>
    </w:p>
    <w:p>
      <w:pPr>
        <w:spacing w:after="0" w:line="197" w:lineRule="exact"/>
        <w:rPr>
          <w:sz w:val="20"/>
          <w:szCs w:val="20"/>
          <w:color w:val="auto"/>
        </w:rPr>
      </w:pPr>
    </w:p>
    <w:p>
      <w:pPr>
        <w:ind w:left="1160" w:hanging="571"/>
        <w:spacing w:after="0" w:line="25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eight directors to constitute the Board of Directors to serve until the next annual meeting and until their successors are elected and qualified.</w:t>
      </w:r>
    </w:p>
    <w:p>
      <w:pPr>
        <w:spacing w:after="0" w:line="1" w:lineRule="exact"/>
        <w:rPr>
          <w:rFonts w:ascii="Arial" w:cs="Arial" w:eastAsia="Arial" w:hAnsi="Arial"/>
          <w:sz w:val="18"/>
          <w:szCs w:val="18"/>
          <w:color w:val="auto"/>
        </w:rPr>
      </w:pPr>
    </w:p>
    <w:p>
      <w:pPr>
        <w:ind w:left="116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Articles of Incorporation of United to increase the number of shares of common stock available for issuance.</w:t>
      </w:r>
    </w:p>
    <w:p>
      <w:pPr>
        <w:ind w:left="1160" w:right="2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Articles of Incorporation to allow for amendments to the Bylaws by the Board of Directors.</w:t>
      </w:r>
    </w:p>
    <w:p>
      <w:pPr>
        <w:jc w:val="both"/>
        <w:ind w:left="116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sale of convertible preferred stock and grant of a warrant to purchase our common stock equivalent junior preferred stock to Fletcher International, Ltd. which, if converted and exercised, could result in an issuance of common stock in excess of 20% of our outstanding shares of common stock.</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advisory resolution supporting the compensation plan for executive officers.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Porter Keadle Moore, LLP as independent registered public accountant for 2010.</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27, 2010 will be entitled to notice of, and to vote at, the meeting. A proxy statement and a proxy solicited by the Board of Directors are enclosed.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ensure that your vote is recorded promptly, please vote as soon as possible. Most shareholders of record have three options for submitting their vote before the meeting. You may vote (1) by telephone if you reside in the United States, Canada or the U.S. territories, (2) via the Internet (see the instructions on the proxy card), or (3) by completing, signing and mailing the proxy card in the enclosed postage–paid envelope. If you have Internet access, we encourage you to record your vote on the Internet. It is convenient and it saves significant postage and processing costs. If you attend the meeting you may, if you wish, withdraw your proxy and vote in person.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broker or other nominee, you will receive instructions from the holder of record that you must follow for your shares to be voted.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51435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8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QUESTIONS AND ANSWERS ABOUT THE ANNUAL MEETING</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988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What is the purpose of the Annual Meeting?</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Who is entitled to vote?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How do I cast my vote?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What are the quorum and voting requirements?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How are votes counted?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Will other matters be voted on at the Annual Meeting?</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Can I revoke my proxy instructions?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880" w:type="dxa"/>
            <w:vAlign w:val="bottom"/>
          </w:tcPr>
          <w:p>
            <w:pPr>
              <w:ind w:left="580"/>
              <w:spacing w:after="0"/>
              <w:rPr>
                <w:sz w:val="20"/>
                <w:szCs w:val="20"/>
                <w:color w:val="auto"/>
              </w:rPr>
            </w:pPr>
            <w:r>
              <w:rPr>
                <w:rFonts w:ascii="Arial" w:cs="Arial" w:eastAsia="Arial" w:hAnsi="Arial"/>
                <w:sz w:val="18"/>
                <w:szCs w:val="18"/>
                <w:color w:val="auto"/>
              </w:rPr>
              <w:t>What other information should I review before voting?</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b w:val="1"/>
                <w:bCs w:val="1"/>
                <w:color w:val="auto"/>
              </w:rPr>
              <w:t>NOTICE REGARDING THE AVAILABILITY OF PROXY MATERIALS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9880" w:type="dxa"/>
            <w:vAlign w:val="bottom"/>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Introduction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Information Regarding Nominees for Director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Director Emeritus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Board of Directors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Board Committees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Vote Required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9880" w:type="dxa"/>
            <w:vAlign w:val="bottom"/>
          </w:tcPr>
          <w:p>
            <w:pPr>
              <w:ind w:left="580"/>
              <w:spacing w:after="0"/>
              <w:rPr>
                <w:sz w:val="20"/>
                <w:szCs w:val="20"/>
                <w:color w:val="auto"/>
              </w:rPr>
            </w:pPr>
            <w:r>
              <w:rPr>
                <w:rFonts w:ascii="Arial" w:cs="Arial" w:eastAsia="Arial" w:hAnsi="Arial"/>
                <w:sz w:val="18"/>
                <w:szCs w:val="18"/>
                <w:color w:val="auto"/>
              </w:rPr>
              <w:t>Recommendation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8"/>
        </w:trPr>
        <w:tc>
          <w:tcPr>
            <w:tcW w:w="988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Director Nominations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Majority Vote Requirement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Code of Ethical Conduct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Shareholder Communication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880" w:type="dxa"/>
            <w:vAlign w:val="bottom"/>
          </w:tcPr>
          <w:p>
            <w:pPr>
              <w:ind w:left="580"/>
              <w:spacing w:after="0"/>
              <w:rPr>
                <w:sz w:val="20"/>
                <w:szCs w:val="20"/>
                <w:color w:val="auto"/>
              </w:rPr>
            </w:pPr>
            <w:r>
              <w:rPr>
                <w:rFonts w:ascii="Arial" w:cs="Arial" w:eastAsia="Arial" w:hAnsi="Arial"/>
                <w:sz w:val="18"/>
                <w:szCs w:val="18"/>
                <w:color w:val="auto"/>
              </w:rPr>
              <w:t>Certain Relationships and Related Transactions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9880" w:type="dxa"/>
            <w:vAlign w:val="bottom"/>
          </w:tcPr>
          <w:p>
            <w:pPr>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Compensation Discussion and Analysis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Executive Compensation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Agreements with Executive Officers and Post-Employment Compensation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Director Compensation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Compensation Committee Interlocks and Insider Participation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9880" w:type="dxa"/>
            <w:vAlign w:val="bottom"/>
          </w:tcPr>
          <w:p>
            <w:pPr>
              <w:ind w:left="580"/>
              <w:spacing w:after="0"/>
              <w:rPr>
                <w:sz w:val="20"/>
                <w:szCs w:val="20"/>
                <w:color w:val="auto"/>
              </w:rPr>
            </w:pPr>
            <w:r>
              <w:rPr>
                <w:rFonts w:ascii="Arial" w:cs="Arial" w:eastAsia="Arial" w:hAnsi="Arial"/>
                <w:sz w:val="18"/>
                <w:szCs w:val="18"/>
                <w:color w:val="auto"/>
              </w:rPr>
              <w:t>Compensation Committee Report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b w:val="1"/>
                <w:bCs w:val="1"/>
                <w:color w:val="auto"/>
              </w:rPr>
              <w:t>PRINCIPAL AND MANAGEMENT SHAREHOLDERS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b w:val="1"/>
                <w:bCs w:val="1"/>
                <w:color w:val="auto"/>
              </w:rPr>
              <w:t>SECTION 16(A) BENEFICIAL OWNERSHIP REPORTING COMPLIANCE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9880" w:type="dxa"/>
            <w:vAlign w:val="bottom"/>
          </w:tcPr>
          <w:p>
            <w:pPr>
              <w:spacing w:after="0"/>
              <w:rPr>
                <w:sz w:val="20"/>
                <w:szCs w:val="20"/>
                <w:color w:val="auto"/>
              </w:rPr>
            </w:pPr>
            <w:r>
              <w:rPr>
                <w:rFonts w:ascii="Arial" w:cs="Arial" w:eastAsia="Arial" w:hAnsi="Arial"/>
                <w:sz w:val="18"/>
                <w:szCs w:val="18"/>
                <w:b w:val="1"/>
                <w:bCs w:val="1"/>
                <w:color w:val="auto"/>
              </w:rPr>
              <w:t>AUDIT COMMITTEE REPORT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9880" w:type="dxa"/>
            <w:vAlign w:val="bottom"/>
          </w:tcPr>
          <w:p>
            <w:pPr>
              <w:spacing w:after="0"/>
              <w:rPr>
                <w:sz w:val="20"/>
                <w:szCs w:val="20"/>
                <w:color w:val="auto"/>
              </w:rPr>
            </w:pPr>
            <w:r>
              <w:rPr>
                <w:rFonts w:ascii="Arial" w:cs="Arial" w:eastAsia="Arial" w:hAnsi="Arial"/>
                <w:sz w:val="18"/>
                <w:szCs w:val="18"/>
                <w:b w:val="1"/>
                <w:bCs w:val="1"/>
                <w:color w:val="auto"/>
              </w:rPr>
              <w:t>PROPOSAL 2 – AMENDMENT TO RESTATED ARTICLES OF INCORPORATION TO INCREASE SHARES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General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Purpose of Authorizing Increased Shares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Effect of Proposal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880" w:type="dxa"/>
            <w:vAlign w:val="bottom"/>
          </w:tcPr>
          <w:p>
            <w:pPr>
              <w:ind w:left="580"/>
              <w:spacing w:after="0"/>
              <w:rPr>
                <w:sz w:val="20"/>
                <w:szCs w:val="20"/>
                <w:color w:val="auto"/>
              </w:rPr>
            </w:pPr>
            <w:r>
              <w:rPr>
                <w:rFonts w:ascii="Arial" w:cs="Arial" w:eastAsia="Arial" w:hAnsi="Arial"/>
                <w:sz w:val="18"/>
                <w:szCs w:val="18"/>
                <w:color w:val="auto"/>
              </w:rPr>
              <w:t>Vote Required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880" w:type="dxa"/>
            <w:vAlign w:val="bottom"/>
          </w:tcPr>
          <w:p>
            <w:pPr>
              <w:ind w:left="580"/>
              <w:spacing w:after="0"/>
              <w:rPr>
                <w:sz w:val="20"/>
                <w:szCs w:val="20"/>
                <w:color w:val="auto"/>
              </w:rPr>
            </w:pPr>
            <w:r>
              <w:rPr>
                <w:rFonts w:ascii="Arial" w:cs="Arial" w:eastAsia="Arial" w:hAnsi="Arial"/>
                <w:sz w:val="18"/>
                <w:szCs w:val="18"/>
                <w:color w:val="auto"/>
              </w:rPr>
              <w:t>Recommendation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PROPOSAL 3 – AMENDMENT TO RESTATED ARTICLES OF INCORPORATION TO ALLOW BYLAW AMENDMENTS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rPr>
              <w:t>General</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Purpose of Allowing Bylaw Amendments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Effect of Proposal</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w w:val="90"/>
              </w:rPr>
              <w:t>Vote Required</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Recommendation</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PROPOSAL 4 – APPROVE THE SALE OF CONVERTIBLE PREFERRED STOCK AND GRANT OF WARRANT TO FLETCHER</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0"/>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INTERNATIONAL, LTD</w:t>
            </w:r>
            <w:r>
              <w:rPr>
                <w:rFonts w:ascii="Arial" w:cs="Arial" w:eastAsia="Arial" w:hAnsi="Arial"/>
                <w:sz w:val="18"/>
                <w:szCs w:val="18"/>
                <w:color w:val="auto"/>
              </w:rPr>
              <w:t>.</w:t>
            </w:r>
          </w:p>
        </w:tc>
        <w:tc>
          <w:tcPr>
            <w:tcW w:w="640" w:type="dxa"/>
            <w:vAlign w:val="bottom"/>
          </w:tcPr>
          <w:p>
            <w:pPr>
              <w:spacing w:after="0"/>
              <w:rPr>
                <w:sz w:val="19"/>
                <w:szCs w:val="19"/>
                <w:color w:val="auto"/>
              </w:rPr>
            </w:pP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rPr>
              <w:t>General</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Purpose of Issuing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Benefits to United</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Reasons for Requesting Shareholder Approval</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w w:val="90"/>
              </w:rPr>
              <w:t>Vote Required</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Recommendation</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4"/>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PROPOSAL 5 – APPROVAL OF ADVISORY RESOLUTION SUPPORTING THE COMPENSATION PLAN FOR EXECUTIVE</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8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rPr>
              <w:t>General</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Recommendation</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auto"/>
              </w:rPr>
              <w:t>PROPOSAL 6 - RATIFICATION OF APPOINTMENT OF INDEPENDENT REGISTERED PUBLIC ACCOUNTANT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rPr>
              <w:t>General</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760"/>
              <w:spacing w:after="0"/>
              <w:rPr>
                <w:sz w:val="20"/>
                <w:szCs w:val="20"/>
                <w:color w:val="auto"/>
              </w:rPr>
            </w:pPr>
            <w:r>
              <w:rPr>
                <w:rFonts w:ascii="Arial" w:cs="Arial" w:eastAsia="Arial" w:hAnsi="Arial"/>
                <w:sz w:val="18"/>
                <w:szCs w:val="18"/>
                <w:color w:val="auto"/>
                <w:w w:val="90"/>
              </w:rPr>
              <w:t>Vote Required</w:t>
            </w:r>
          </w:p>
        </w:tc>
        <w:tc>
          <w:tcPr>
            <w:tcW w:w="8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Recommendation</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82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8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Independent Registered Public Accountants</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Expenses of Solicitation</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780" w:type="dxa"/>
            <w:vAlign w:val="bottom"/>
            <w:gridSpan w:val="2"/>
          </w:tcPr>
          <w:p>
            <w:pPr>
              <w:ind w:left="760"/>
              <w:spacing w:after="0"/>
              <w:rPr>
                <w:sz w:val="20"/>
                <w:szCs w:val="20"/>
                <w:color w:val="auto"/>
              </w:rPr>
            </w:pPr>
            <w:r>
              <w:rPr>
                <w:rFonts w:ascii="Arial" w:cs="Arial" w:eastAsia="Arial" w:hAnsi="Arial"/>
                <w:sz w:val="18"/>
                <w:szCs w:val="18"/>
                <w:color w:val="auto"/>
              </w:rPr>
              <w:t>Shareholder Proposals &amp; Recommendations for Director Nominees</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820" w:type="dxa"/>
            <w:vAlign w:val="bottom"/>
          </w:tcPr>
          <w:p>
            <w:pPr>
              <w:ind w:left="760"/>
              <w:spacing w:after="0"/>
              <w:rPr>
                <w:sz w:val="20"/>
                <w:szCs w:val="20"/>
                <w:color w:val="auto"/>
              </w:rPr>
            </w:pPr>
            <w:r>
              <w:rPr>
                <w:rFonts w:ascii="Arial" w:cs="Arial" w:eastAsia="Arial" w:hAnsi="Arial"/>
                <w:sz w:val="18"/>
                <w:szCs w:val="18"/>
                <w:color w:val="auto"/>
              </w:rPr>
              <w:t>General</w:t>
            </w:r>
          </w:p>
        </w:tc>
        <w:tc>
          <w:tcPr>
            <w:tcW w:w="8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8960" w:type="dxa"/>
            <w:vAlign w:val="bottom"/>
          </w:tcPr>
          <w:p>
            <w:pPr>
              <w:ind w:left="40"/>
              <w:spacing w:after="0"/>
              <w:rPr>
                <w:sz w:val="20"/>
                <w:szCs w:val="20"/>
                <w:color w:val="auto"/>
              </w:rPr>
            </w:pPr>
            <w:r>
              <w:rPr>
                <w:rFonts w:ascii="Arial" w:cs="Arial" w:eastAsia="Arial" w:hAnsi="Arial"/>
                <w:sz w:val="18"/>
                <w:szCs w:val="18"/>
                <w:b w:val="1"/>
                <w:bCs w:val="1"/>
                <w:color w:val="auto"/>
              </w:rPr>
              <w:t>AMENDMENTS TO RESTATED ARTICLES OF INCORPORATION</w:t>
            </w:r>
          </w:p>
        </w:tc>
        <w:tc>
          <w:tcPr>
            <w:tcW w:w="640" w:type="dxa"/>
            <w:vAlign w:val="bottom"/>
          </w:tcPr>
          <w:p>
            <w:pPr>
              <w:spacing w:after="0"/>
              <w:rPr>
                <w:sz w:val="24"/>
                <w:szCs w:val="24"/>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April 15,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169545</wp:posOffset>
            </wp:positionV>
            <wp:extent cx="2504440"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2010 Annual Meeting of Shareholders to be held on Wednesday, May 26, 2010 at 2:00 p.m., at the Charles R. Clegg Fine Arts Building at Young Harris College, Young Harris, Georgia, and at any adjournments or postponements of the Annual Meeting.</w:t>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the Annual Meeting, shareholders will act upon the matters set forth in the accompanying notice of meeting, including the election of eight directors, amendments to the Amended and Restated Articles of Incorporation of United, approval of an advisory resolution on executive compensation, the ratification of the appointment of United’s independent registered public accountant and any other matters that may properly come before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March 27, 2010,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hold your shares of common stock in your own name as a holder of record and you have Internet access, United prefers that you vote your shares via the Internet at illinoisstocktransfer.com.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that is held for your account by a broker, bank or other nominee, you will receive instructions from your nominee which you must follow in order to have your shares voted.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94,175,857 shares of common stock outstanding and entitled to vote at the Annual Meeting.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52" w:lineRule="exact"/>
        <w:rPr>
          <w:sz w:val="20"/>
          <w:szCs w:val="20"/>
          <w:color w:val="auto"/>
        </w:rPr>
      </w:pPr>
    </w:p>
    <w:p>
      <w:pPr>
        <w:jc w:val="both"/>
        <w:ind w:left="1160" w:hanging="571"/>
        <w:spacing w:after="0" w:line="286"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65" w:lineRule="exact"/>
        <w:rPr>
          <w:rFonts w:ascii="Arial" w:cs="Arial" w:eastAsia="Arial" w:hAnsi="Arial"/>
          <w:sz w:val="17"/>
          <w:szCs w:val="17"/>
          <w:color w:val="auto"/>
        </w:rPr>
      </w:pPr>
    </w:p>
    <w:p>
      <w:pPr>
        <w:ind w:left="116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an Amendment to the Amended and Restated Articles of Incorporation of United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to increase the number of authorized common shares available for issuance, the vote of a majority of all shares outstanding.</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of an amendment of the Articles to allow for amendment to the Bylaws of United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by the Board of Directors, the vote of two-thirds of all outstanding shares.</w:t>
      </w:r>
    </w:p>
    <w:p>
      <w:pPr>
        <w:spacing w:after="0" w:line="170"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of the sale of convertible preferred stock and grant of a warrant to purchase common stock equivalent junior preferred stock to Fletcher International, Ltd. (“</w:t>
      </w:r>
      <w:r>
        <w:rPr>
          <w:rFonts w:ascii="Arial" w:cs="Arial" w:eastAsia="Arial" w:hAnsi="Arial"/>
          <w:sz w:val="18"/>
          <w:szCs w:val="18"/>
          <w:b w:val="1"/>
          <w:bCs w:val="1"/>
          <w:i w:val="1"/>
          <w:iCs w:val="1"/>
          <w:color w:val="auto"/>
        </w:rPr>
        <w:t>Fletcher</w:t>
      </w:r>
      <w:r>
        <w:rPr>
          <w:rFonts w:ascii="Arial" w:cs="Arial" w:eastAsia="Arial" w:hAnsi="Arial"/>
          <w:sz w:val="18"/>
          <w:szCs w:val="18"/>
          <w:color w:val="auto"/>
        </w:rPr>
        <w:t>”), the vote of a majority of the shares voted on the matter.</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advisory resolution supporting the compensation plan for the executive officers, the vote of a majority of the shares voted on the matter.</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Porter Keadle Moore, LLP as independent registered public accountant for 2010, the vote of a majority of the shares voted on the matter.</w:t>
      </w:r>
    </w:p>
    <w:p>
      <w:pPr>
        <w:spacing w:after="0" w:line="170"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election of directors and the ratification of independent auditors are considered routine matters by brokers and other nominees allowing them to have discretionary voting power to vote shares they hold on behalf of their clients for the election of directors and the ratification of an independent auditor.</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the advisory vote on executive compensation, ratification of the appointment of Porter Keadle Moore, LLP as independent registered public accountant for 2010, approval of an increase in the number of authorized common shares available for issuance and any other proposals that come before the meeting, you may vote “for” or “against” the proposal.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right="20" w:firstLine="648"/>
        <w:spacing w:after="0" w:line="277"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52" w:lineRule="exact"/>
        <w:rPr>
          <w:sz w:val="20"/>
          <w:szCs w:val="20"/>
          <w:color w:val="auto"/>
        </w:rPr>
      </w:pPr>
    </w:p>
    <w:p>
      <w:pPr>
        <w:ind w:left="1160" w:right="4480" w:hanging="571"/>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2009 annual report to shareholders and the annual report on Form 10-K filed with the Securities and Exchange Commission, including financial statements for the year ended December 31, 2009, are enclosed with this proxy statement. The annual report is not part of the proxy solicitation material. An additional copy of the annual report on Form 10-K may be obtained without charge by:</w:t>
      </w:r>
    </w:p>
    <w:p>
      <w:pPr>
        <w:spacing w:after="0" w:line="208"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United’s website at ucbi.com;</w:t>
      </w:r>
    </w:p>
    <w:p>
      <w:pPr>
        <w:spacing w:after="0" w:line="225" w:lineRule="exact"/>
        <w:rPr>
          <w:rFonts w:ascii="Arial" w:cs="Arial" w:eastAsia="Arial" w:hAnsi="Arial"/>
          <w:sz w:val="18"/>
          <w:szCs w:val="18"/>
          <w:color w:val="auto"/>
        </w:rPr>
      </w:pPr>
    </w:p>
    <w:p>
      <w:pPr>
        <w:ind w:left="1160" w:right="6020" w:hanging="571"/>
        <w:spacing w:after="0" w:line="34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writing to the Secretary of United at the following address: P.O. Box 398, Blairsville, Georgia 30514-0398; or</w:t>
      </w:r>
    </w:p>
    <w:p>
      <w:pPr>
        <w:spacing w:after="0" w:line="123" w:lineRule="exact"/>
        <w:rPr>
          <w:rFonts w:ascii="Arial" w:cs="Arial" w:eastAsia="Arial" w:hAnsi="Arial"/>
          <w:sz w:val="16"/>
          <w:szCs w:val="16"/>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the EDGAR database at the SEC’s website at sec.gov.</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You may also obtain copies of United’s Form 10-K from the SEC at prescribed rates by writing to the Public Reference Section of the SEC, Room 1580, F. Street, N.E., Washington, D.C. 20549. Please call the SEC at (800) SEC-0330 for further information about obtaining information from the SEC.</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NOTICE REGARDING THE AVAILABILITY OF PROXY MATERIALS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posted materials related to the 2010 annual meeting on the Internet. The following materials are available on the Internet at ucbi.com/proxy:</w:t>
      </w:r>
    </w:p>
    <w:p>
      <w:pPr>
        <w:spacing w:after="0" w:line="197"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proxy statement for the 2010 annual meeting,</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United’s 2009 annual report to shareholders,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United’s annual report on Form 10-K filed with the Securities and Exchange Commission.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are also invited to attend the 2010 annual meeting in person. To pre-register to attend the annual meeting you may:</w:t>
      </w:r>
    </w:p>
    <w:p>
      <w:pPr>
        <w:spacing w:after="0" w:line="252"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 the instructions on the enclosed proxy card,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call (866) 270-5900.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directions to the annual meeting, visit yhc.edu, or call (866) 270-5900 and an Investor Relations professional can assist you.</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Bylaws of United provide that the number of directors may range from eight to 14. The Board of Directors of United has set the number of directors at eight.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has been furnished by the respective nominees for director as of March 1, 2010. All of the nominees for director are existing directors that have been nominated by the Board of Directors for re-election.</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Jimmy C. Tallent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 57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since 1988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Committee</w:t>
      </w:r>
    </w:p>
    <w:p>
      <w:pPr>
        <w:spacing w:after="0" w:line="200" w:lineRule="exact"/>
        <w:rPr>
          <w:sz w:val="20"/>
          <w:szCs w:val="20"/>
          <w:color w:val="auto"/>
        </w:rPr>
      </w:pPr>
    </w:p>
    <w:p>
      <w:pPr>
        <w:sectPr>
          <w:pgSz w:w="11900" w:h="16838" w:orient="portrait"/>
          <w:cols w:equalWidth="0" w:num="2">
            <w:col w:w="7960" w:space="720"/>
            <w:col w:w="2740"/>
          </w:cols>
          <w:pgMar w:left="240" w:top="513" w:right="239" w:bottom="1440" w:gutter="0" w:footer="0" w:header="0"/>
          <w:type w:val="continuous"/>
        </w:sectPr>
      </w:pPr>
    </w:p>
    <w:p>
      <w:pPr>
        <w:spacing w:after="0" w:line="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Tallent has served as President and Chief Executive Officer of United Community Banks, Inc. from the time it was formed in 1988. He served as United Community Bank’s President and Chief Executive Officer since 1984 and currently serves as its Chairman. Under Mr. Tallent’s leadership, United Community Bank has grown from a small, one-branch banking operation in the rural community of Blairsville, Georgia to the third largest bank holding company headquartered in Georgia with $8 billion in assets and 107 banking offices covering three states in the Southeast. Mr. Tallent is a member of the Georgia Power board and serves as a Trustee of Young Harris College in Young Harris, Georgia.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Tallent’s many professional accomplishments include the Georgia Economic Developers Association’s Spirit of Georgia Award that was presented to Mr. Tallent in 1999. This award is presented annually to a Georgia business executive who has demonstrated superior ability, originality, potential impact, and courage in business development. For five consecutive years Georgia Trend magazine has recognized Mr. Tallent as one of the “100 Most Influential Georgians.” In 2007, Mr. Tallent was honored with the Ernst &amp; Young Entrepreneur of the Year Award for Financial Services in the Alabama / Georgia / Tennessee region. Mr. Tallent attended Young Harris College and Piedmont College and is a graduate of the Georgia Banking School in Athens, Georgia.</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following reasons, the board of directors of United Community Banks, Inc. has concluded that Mr. Tallent should serve as a director of the company. As president and chief executive officer, Mr. Tallent is the only officer to serve on our board, consistent with our past practice. With more than 26 years of experience, Mr. Tallent has a deep knowledge and understanding of United, its “community banks” and its lines of business. Mr. Tallent has demonstrated leadership abilities and has the integrity, values and good judgment that make him well-suited to serve on the Board of Directors.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Robert L. Head, Jr.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 70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Director since 1988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Committee Chairman</w:t>
      </w:r>
    </w:p>
    <w:p>
      <w:pPr>
        <w:spacing w:after="0" w:line="200" w:lineRule="exact"/>
        <w:rPr>
          <w:sz w:val="20"/>
          <w:szCs w:val="20"/>
          <w:color w:val="auto"/>
        </w:rPr>
      </w:pPr>
    </w:p>
    <w:p>
      <w:pPr>
        <w:sectPr>
          <w:pgSz w:w="11900" w:h="16838" w:orient="portrait"/>
          <w:cols w:equalWidth="0" w:num="2">
            <w:col w:w="8380" w:space="720"/>
            <w:col w:w="2320"/>
          </w:cols>
          <w:pgMar w:left="240" w:top="517" w:right="239" w:bottom="1440" w:gutter="0" w:footer="0" w:header="0"/>
        </w:sectPr>
      </w:pPr>
    </w:p>
    <w:p>
      <w:pPr>
        <w:spacing w:after="0" w:line="6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Mr. Head has served on the Board of Directors of United Community Banks, Inc. since its establishment in 1988 and was elected Chairman in 1989. Mr. Head has served on the board of United Community Bank since 1973. In addition to his service with United, Mr. Head serves on the Board of Trustees and Executive Committee of Young Harris College. He served on the Georgia State Board of Industry, Trade and Tourism from 1994 to 2000.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Head has been president of Head-Westgate Corporation, a commercial construction and retail center management company, since 1987. Prior to that, he was president of Robert L. Head Building Supply from 1970 to 1986. Mr. Head began his professional career in 1961 as a production accountant for the Coca-Cola Company, followed by military service in the U.S. Army Reserves and Georgia Air National Guard. He holds an associates degree from Young Harris College, as well as a graduate degree from Georgia State University.</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United values business leadership and the experience our directors gain through such leadership. Mr. Head is recognized both locally and statewide for his knowledge of management, industry and construction – all valuable assets to the Board of Directors because a significant portion of United’s business is in the areas of construction and small business banking. Mr. Head’s extensive experience and leadership in these areas provide a unique perspective to the Board. The Board also believes the Mr. Head’s values and commitment to excellence make him well-suited to serve as Chairman of the Board.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 C. Nelson, Jr.</w:t>
            </w:r>
          </w:p>
        </w:tc>
        <w:tc>
          <w:tcPr>
            <w:tcW w:w="6800" w:type="dxa"/>
            <w:vAlign w:val="bottom"/>
          </w:tcPr>
          <w:p>
            <w:pPr>
              <w:jc w:val="right"/>
              <w:spacing w:after="0"/>
              <w:rPr>
                <w:sz w:val="20"/>
                <w:szCs w:val="20"/>
                <w:color w:val="auto"/>
              </w:rPr>
            </w:pPr>
            <w:r>
              <w:rPr>
                <w:rFonts w:ascii="Arial" w:cs="Arial" w:eastAsia="Arial" w:hAnsi="Arial"/>
                <w:sz w:val="18"/>
                <w:szCs w:val="18"/>
                <w:color w:val="auto"/>
              </w:rPr>
              <w:t>Director since 1988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Age 66</w:t>
            </w:r>
          </w:p>
        </w:tc>
        <w:tc>
          <w:tcPr>
            <w:tcW w:w="6800" w:type="dxa"/>
            <w:vAlign w:val="bottom"/>
          </w:tcPr>
          <w:p>
            <w:pPr>
              <w:jc w:val="right"/>
              <w:spacing w:after="0"/>
              <w:rPr>
                <w:sz w:val="20"/>
                <w:szCs w:val="20"/>
                <w:color w:val="auto"/>
              </w:rPr>
            </w:pPr>
            <w:r>
              <w:rPr>
                <w:rFonts w:ascii="Arial" w:cs="Arial" w:eastAsia="Arial" w:hAnsi="Arial"/>
                <w:sz w:val="18"/>
                <w:szCs w:val="18"/>
                <w:color w:val="auto"/>
              </w:rPr>
              <w:t>Vice Chairman of the Board</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Executive Committee</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Audit Committee Chairman</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Nominating/Corporate Governance Committee</w:t>
            </w:r>
          </w:p>
        </w:tc>
      </w:tr>
      <w:tr>
        <w:trPr>
          <w:trHeight w:val="230"/>
        </w:trPr>
        <w:tc>
          <w:tcPr>
            <w:tcW w:w="4620" w:type="dxa"/>
            <w:vAlign w:val="bottom"/>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Compensation Committee</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Nelson has served on the United Community Banks, Inc. Board of Directors since its formation in 1988, and was elected Vice Chairman in 1992. He has served on the Board of United Community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 Mr. Nelson attended Young Harris College and The Georgia Institute of Technology. He has been a member of the Union County (Georgia) Development Board for more than 30 years and has served as chairman for 15 years. Mr. Nelson is a current member of the Tennessee Valley Authority (TVA) Regional Resource Stewardship Council representing the state of Georgia, and is currently on the Young Harris Board of Associates and the Blairsville Downtown Development Authority.</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well-suited for the Board of Directors.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Robert H. Blalock</w:t>
            </w:r>
          </w:p>
        </w:tc>
        <w:tc>
          <w:tcPr>
            <w:tcW w:w="6740" w:type="dxa"/>
            <w:vAlign w:val="bottom"/>
          </w:tcPr>
          <w:p>
            <w:pPr>
              <w:jc w:val="right"/>
              <w:spacing w:after="0"/>
              <w:rPr>
                <w:sz w:val="20"/>
                <w:szCs w:val="20"/>
                <w:color w:val="auto"/>
              </w:rPr>
            </w:pPr>
            <w:r>
              <w:rPr>
                <w:rFonts w:ascii="Arial" w:cs="Arial" w:eastAsia="Arial" w:hAnsi="Arial"/>
                <w:sz w:val="18"/>
                <w:szCs w:val="18"/>
                <w:color w:val="auto"/>
              </w:rPr>
              <w:t>Director since 2000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Age 62</w:t>
            </w:r>
          </w:p>
        </w:tc>
        <w:tc>
          <w:tcPr>
            <w:tcW w:w="6740" w:type="dxa"/>
            <w:vAlign w:val="bottom"/>
          </w:tcPr>
          <w:p>
            <w:pPr>
              <w:jc w:val="right"/>
              <w:spacing w:after="0"/>
              <w:rPr>
                <w:sz w:val="20"/>
                <w:szCs w:val="20"/>
                <w:color w:val="auto"/>
              </w:rPr>
            </w:pPr>
            <w:r>
              <w:rPr>
                <w:rFonts w:ascii="Arial" w:cs="Arial" w:eastAsia="Arial" w:hAnsi="Arial"/>
                <w:sz w:val="18"/>
                <w:szCs w:val="18"/>
                <w:color w:val="auto"/>
              </w:rPr>
              <w:t>Audit Committee</w:t>
            </w:r>
          </w:p>
        </w:tc>
      </w:tr>
      <w:tr>
        <w:trPr>
          <w:trHeight w:val="216"/>
        </w:trPr>
        <w:tc>
          <w:tcPr>
            <w:tcW w:w="4680" w:type="dxa"/>
            <w:vAlign w:val="bottom"/>
          </w:tcPr>
          <w:p>
            <w:pPr>
              <w:spacing w:after="0"/>
              <w:rPr>
                <w:sz w:val="18"/>
                <w:szCs w:val="18"/>
                <w:color w:val="auto"/>
              </w:rPr>
            </w:pPr>
          </w:p>
        </w:tc>
        <w:tc>
          <w:tcPr>
            <w:tcW w:w="6740" w:type="dxa"/>
            <w:vAlign w:val="bottom"/>
          </w:tcPr>
          <w:p>
            <w:pPr>
              <w:jc w:val="right"/>
              <w:spacing w:after="0"/>
              <w:rPr>
                <w:sz w:val="20"/>
                <w:szCs w:val="20"/>
                <w:color w:val="auto"/>
              </w:rPr>
            </w:pPr>
            <w:r>
              <w:rPr>
                <w:rFonts w:ascii="Arial" w:cs="Arial" w:eastAsia="Arial" w:hAnsi="Arial"/>
                <w:sz w:val="18"/>
                <w:szCs w:val="18"/>
                <w:color w:val="auto"/>
              </w:rPr>
              <w:t>Nominating/Corporate Governance Committee</w:t>
            </w:r>
          </w:p>
        </w:tc>
      </w:tr>
      <w:tr>
        <w:trPr>
          <w:trHeight w:val="230"/>
        </w:trPr>
        <w:tc>
          <w:tcPr>
            <w:tcW w:w="4680" w:type="dxa"/>
            <w:vAlign w:val="bottom"/>
          </w:tcPr>
          <w:p>
            <w:pPr>
              <w:spacing w:after="0"/>
              <w:rPr>
                <w:sz w:val="20"/>
                <w:szCs w:val="20"/>
                <w:color w:val="auto"/>
              </w:rPr>
            </w:pPr>
          </w:p>
        </w:tc>
        <w:tc>
          <w:tcPr>
            <w:tcW w:w="6740" w:type="dxa"/>
            <w:vAlign w:val="bottom"/>
          </w:tcPr>
          <w:p>
            <w:pPr>
              <w:jc w:val="right"/>
              <w:spacing w:after="0"/>
              <w:rPr>
                <w:sz w:val="20"/>
                <w:szCs w:val="20"/>
                <w:color w:val="auto"/>
              </w:rPr>
            </w:pPr>
            <w:r>
              <w:rPr>
                <w:rFonts w:ascii="Arial" w:cs="Arial" w:eastAsia="Arial" w:hAnsi="Arial"/>
                <w:sz w:val="18"/>
                <w:szCs w:val="18"/>
                <w:color w:val="auto"/>
              </w:rPr>
              <w:t>Compensation Committee</w:t>
            </w: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the United Community Banks, Inc. Board in 2000. 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several others in United’s service area. As a past director of First Clayton Bank and Trust – which has been part of United since 1997 – Mr. Blalock brings not only a rich history of banking leadership, but a perspective of the bank acquisition process. The Board believes that Mr. Blalock’s 36 years of business experience and 20 years of bank board experience make him well-suited to serve on the Board of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Cathy Cox</w:t>
            </w:r>
          </w:p>
        </w:tc>
        <w:tc>
          <w:tcPr>
            <w:tcW w:w="7020" w:type="dxa"/>
            <w:vAlign w:val="bottom"/>
          </w:tcPr>
          <w:p>
            <w:pPr>
              <w:jc w:val="right"/>
              <w:spacing w:after="0"/>
              <w:rPr>
                <w:sz w:val="20"/>
                <w:szCs w:val="20"/>
                <w:color w:val="auto"/>
              </w:rPr>
            </w:pPr>
            <w:r>
              <w:rPr>
                <w:rFonts w:ascii="Arial" w:cs="Arial" w:eastAsia="Arial" w:hAnsi="Arial"/>
                <w:sz w:val="18"/>
                <w:szCs w:val="18"/>
                <w:color w:val="auto"/>
              </w:rPr>
              <w:t>Director since 2008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Age 51</w:t>
            </w:r>
          </w:p>
        </w:tc>
        <w:tc>
          <w:tcPr>
            <w:tcW w:w="7020" w:type="dxa"/>
            <w:vAlign w:val="bottom"/>
          </w:tcPr>
          <w:p>
            <w:pPr>
              <w:jc w:val="right"/>
              <w:spacing w:after="0"/>
              <w:rPr>
                <w:sz w:val="20"/>
                <w:szCs w:val="20"/>
                <w:color w:val="auto"/>
              </w:rPr>
            </w:pPr>
            <w:r>
              <w:rPr>
                <w:rFonts w:ascii="Arial" w:cs="Arial" w:eastAsia="Arial" w:hAnsi="Arial"/>
                <w:sz w:val="18"/>
                <w:szCs w:val="18"/>
                <w:color w:val="auto"/>
              </w:rPr>
              <w:t>Audit Committee</w:t>
            </w:r>
          </w:p>
        </w:tc>
      </w:tr>
      <w:tr>
        <w:trPr>
          <w:trHeight w:val="216"/>
        </w:trPr>
        <w:tc>
          <w:tcPr>
            <w:tcW w:w="4400" w:type="dxa"/>
            <w:vAlign w:val="bottom"/>
          </w:tcPr>
          <w:p>
            <w:pPr>
              <w:spacing w:after="0"/>
              <w:rPr>
                <w:sz w:val="18"/>
                <w:szCs w:val="18"/>
                <w:color w:val="auto"/>
              </w:rPr>
            </w:pPr>
          </w:p>
        </w:tc>
        <w:tc>
          <w:tcPr>
            <w:tcW w:w="7020" w:type="dxa"/>
            <w:vAlign w:val="bottom"/>
          </w:tcPr>
          <w:p>
            <w:pPr>
              <w:jc w:val="right"/>
              <w:spacing w:after="0"/>
              <w:rPr>
                <w:sz w:val="20"/>
                <w:szCs w:val="20"/>
                <w:color w:val="auto"/>
              </w:rPr>
            </w:pPr>
            <w:r>
              <w:rPr>
                <w:rFonts w:ascii="Arial" w:cs="Arial" w:eastAsia="Arial" w:hAnsi="Arial"/>
                <w:sz w:val="18"/>
                <w:szCs w:val="18"/>
                <w:color w:val="auto"/>
              </w:rPr>
              <w:t>Nominating/Corporate Governance Committee</w:t>
            </w:r>
          </w:p>
        </w:tc>
      </w:tr>
      <w:tr>
        <w:trPr>
          <w:trHeight w:val="230"/>
        </w:trPr>
        <w:tc>
          <w:tcPr>
            <w:tcW w:w="4400" w:type="dxa"/>
            <w:vAlign w:val="bottom"/>
          </w:tcPr>
          <w:p>
            <w:pPr>
              <w:spacing w:after="0"/>
              <w:rPr>
                <w:sz w:val="20"/>
                <w:szCs w:val="20"/>
                <w:color w:val="auto"/>
              </w:rPr>
            </w:pPr>
          </w:p>
        </w:tc>
        <w:tc>
          <w:tcPr>
            <w:tcW w:w="7020" w:type="dxa"/>
            <w:vAlign w:val="bottom"/>
          </w:tcPr>
          <w:p>
            <w:pPr>
              <w:jc w:val="right"/>
              <w:spacing w:after="0"/>
              <w:rPr>
                <w:sz w:val="20"/>
                <w:szCs w:val="20"/>
                <w:color w:val="auto"/>
              </w:rPr>
            </w:pPr>
            <w:r>
              <w:rPr>
                <w:rFonts w:ascii="Arial" w:cs="Arial" w:eastAsia="Arial" w:hAnsi="Arial"/>
                <w:sz w:val="18"/>
                <w:szCs w:val="18"/>
                <w:color w:val="auto"/>
              </w:rPr>
              <w:t>Compensation Committee Chairman</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Cox has served on the United Community Banks, Inc. Board of Directors and the board of United Community Bank since 2008. Ms. Cox has been President of Young Harris College, a private, liberal arts college in North Georgia, since 2007. In her short time at the college, she has moved the college from two-year to four-year status, nearly doubling the size of the institution. She also has started design and construction on an $80 million expansion project. Prior to joining the college, Ms. Cox served as the Georgia Secretary of State. Twice elected,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from Mercer University School of Law. She was Editor-in-Chief of the Mercer Law Review.</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well-suited to serve on the Board of Directors.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Hoyt O. Holloway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 70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Director since 1993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7320" w:space="720"/>
            <w:col w:w="3380"/>
          </w:cols>
          <w:pgMar w:left="240" w:top="517" w:right="239" w:bottom="1440" w:gutter="0" w:footer="0" w:header="0"/>
        </w:sectPr>
      </w:pPr>
    </w:p>
    <w:p>
      <w:pPr>
        <w:spacing w:after="0" w:line="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Holloway has been owner of H &amp; H Farms, a poultry operation, since 1989. He also is co-owner and manager of Holloway Properties LLC, a real estate development and commercial property rental company. Prior to this he owned and operated Holloway Service Center, a tire and auto service business, for 10 years. During his career Mr. Holloway also has co-owned and managed an automobile dealership, oil distributorship and service station. Mr. Holloway currently serves as chairman of the community bank board of United Community Bank – Fannin County (Georgia) and has served on the Fannin County Hospital Authority Board and the Fannin County Health Department Advisory Board. He was one of seven organizers of Peoples Bank of Fannin County in 1986 where he served as a member of the bank’s board since 1986 and audit committee for three years and has served on the Board of Directors of United Community Banks, Inc. since United acquired Peoples Bank of Fannin County in 1993.</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Holloway brings to the Board of Directors decades of business management experience and entrepreneurship. As small business and real estate development experience are important aspects of United’s business, Mr. Holloway’s accomplishments and leadership in these areas provide invaluable perspective for the Board. The Board believes that this experience, his history with organizing Peoples Bank of Fannin County, as well as his integrity and commitment to community development make him well-suited to serve on the Board of Directors.</w:t>
      </w:r>
    </w:p>
    <w:p>
      <w:pPr>
        <w:sectPr>
          <w:pgSz w:w="11900" w:h="16838" w:orient="portrait"/>
          <w:cols w:equalWidth="0" w:num="1">
            <w:col w:w="11420"/>
          </w:cols>
          <w:pgMar w:left="240" w:top="517" w:right="2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John D. Stephens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Age 69</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since 2007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7320" w:space="720"/>
            <w:col w:w="338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Mr. Stephens is owner, general and managing partner of Stephens MDS, LP, in College Park, Georgia, which oversees the operation of a construction and demolition landfill. He also is owner and president of Stephens Rock and Dirt, Inc., which oversees all aspects of the operation of a facility for the recycling and processing of soil, rock, concrete, concrete blocks and cured asphalt pavement. He is general and managing partner of three real estate, development and property management companies. From 1966 to 2005, Mr. Stephens was president of John D. Stephens, Inc., an underground utility, heavy construction and pipeline construction company. Mr. Stephens also serves on the Executive Committee of the Gwinnett Chamber of Commerce and Board of Trustees of Georgia Gwinnett College. He is past president of the Georgia Utility Contractors Association and has served on the Georgia Board of Industry and Trade Commission. Mr. Stephens holds an associates degree and Bachelor of </w:t>
      </w:r>
      <w:r>
        <w:rPr>
          <w:rFonts w:ascii="Arial" w:cs="Arial" w:eastAsia="Arial" w:hAnsi="Arial"/>
          <w:sz w:val="18"/>
          <w:szCs w:val="18"/>
          <w:b w:val="1"/>
          <w:bCs w:val="1"/>
          <w:color w:val="auto"/>
        </w:rPr>
        <w:t>S</w:t>
      </w:r>
      <w:r>
        <w:rPr>
          <w:rFonts w:ascii="Arial" w:cs="Arial" w:eastAsia="Arial" w:hAnsi="Arial"/>
          <w:sz w:val="18"/>
          <w:szCs w:val="18"/>
          <w:color w:val="auto"/>
        </w:rPr>
        <w:t>cience degree in Mechanical Technology from Southern Polytechnic State University.</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Stephens has extensive experience in bank board participation and bank leadership roles, beginning in the 1970s as a board member of Gwinnett County Bank. Through various mergers and acquisitions of Gwinnett County Bank between that time and 2000, Mr. Stephens served on the boards of Button Gwinnett Savings Bank, The Bank of Gwinnett, and Premier Bank. In 1999, he oversaw the sale of Premier Bank to BB&amp;T. A year later, he helped to organize and found First Bank of Gwinnett, where he served as chairman of the board. First Bank of Gwinnett became First Bank of the South, which was acquired by United in 2007.</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3" w:name="page14"/>
    <w:bookmarkEnd w:id="13"/>
    <w:p>
      <w:pPr>
        <w:jc w:val="both"/>
        <w:ind w:firstLine="648"/>
        <w:spacing w:after="0" w:line="279" w:lineRule="auto"/>
        <w:rPr>
          <w:sz w:val="20"/>
          <w:szCs w:val="20"/>
          <w:color w:val="auto"/>
        </w:rPr>
      </w:pPr>
      <w:r>
        <w:rPr>
          <w:rFonts w:ascii="Arial" w:cs="Arial" w:eastAsia="Arial" w:hAnsi="Arial"/>
          <w:sz w:val="17"/>
          <w:szCs w:val="17"/>
          <w:color w:val="auto"/>
        </w:rPr>
        <w:t>Mr. Stephens’ involvement on the board of First Bank of South and its parent company as well as on a number of other Atlanta-area bank boards since the 1970s, provides nearly 48 years of bank leadership experience to the Board of Directors, as well as insight into the Atlanta region – an area of growth for United. His perspective of bank formation, mergers, acquisition and operation provides a unique perspective and background. Because of this, and his 44 years of business and industrial experience, the Board believes Mr. Stephens is well-suited for the Board of Directors.</w:t>
      </w:r>
    </w:p>
    <w:p>
      <w:pPr>
        <w:sectPr>
          <w:pgSz w:w="11900" w:h="16838" w:orient="portrait"/>
          <w:cols w:equalWidth="0" w:num="1">
            <w:col w:w="11420"/>
          </w:cols>
          <w:pgMar w:left="240" w:top="517"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Tim Wallis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since 1999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7320" w:space="720"/>
            <w:col w:w="3380"/>
          </w:cols>
          <w:pgMar w:left="240" w:top="517" w:right="239" w:bottom="1440" w:gutter="0" w:footer="0" w:header="0"/>
          <w:type w:val="continuous"/>
        </w:sectPr>
      </w:pPr>
    </w:p>
    <w:p>
      <w:pPr>
        <w:spacing w:after="0" w:line="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Mr. Wallis is owner and president of Wallis Printing in Rome, Georgia. Prior to this he worked in production and sales at what was then Brazelton-Wallis Printing Company from 1974 until 1985 when he became owner and president. In addition to serving on the United Community Banks, Inc. Board of Directors,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For these reasons, and his experience with statewide commerce, the Board believes Mr. Wallis is well-suited to serve on the Board of Directors.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Honorable Zell B. Miller, 77, serves as Director Emeritus of the Board of Directors of United. This is an elected role by the Board that provides leadership, counsel and guidance on various issues and policies that could affect United. Prior to becoming a member of the U.S. Senate, Mr. Miller served as a member of the Board of Directors of United from 1999 to 2000. Mr. Miller was a U. S. Senator from 2000 to 2005 and previously served two terms as Governor and four terms as Lt. Governor of the State of Georgia.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held fourteen meetings during 2009. All of the directors attended at least 75 percent of the meetings of the Board and meetings of the committees of the Board on which they served that were held during 2009. Directors are expected to be present at the Annual Meeting of United.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Former director A. William Bennett passed away on December 24, 2009. Mr. Bennett was a member of the Audit, Nominating/Corporate Governance and Compensation Committees. His contributions will be deeply missed.</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has considered and determined that a majority of the members of the Board of Directors are independent as “independent” is defined under applicable federal securities laws and the Nasdaq Listing Requirements. During 2009, the independent directors were Directors Nelson, Bennett, Blalock, Cox, Holloway, Stephens and Wallis. The independent directors meet in executive sessions every quarter without management.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has elected Director Head and Director Nelson as Chairman and Vice Chairman, respectively. The Board believes that its current leadership structure is appropriate because Directors Head and Nelson are both skilled businessmen with good judgment and are substantial shareholders of United. As a result, they provide independent, shareholder-focused leadership to United.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Risk oversight of United is the responsibility of the Board of Directors. It administers this oversight function by evaluating various components of risks to the company at each meeting of the Board. United believes that its Board leadership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senior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currently has, and appoints members to, four standing committees: the Executive Committee, Audit Committee, Nominating/Corporate Governance Committee and the Compensation Committee. Each member of these Committees is independent and each Committee has a charter approved by the Board, which is available on United’s website, ucbi.com.</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members of the Committees are identified below (M - member; C - chairman):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Nominating/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w w:val="87"/>
              </w:rPr>
              <w:t>Name</w:t>
            </w:r>
          </w:p>
        </w:tc>
        <w:tc>
          <w:tcPr>
            <w:tcW w:w="1780" w:type="dxa"/>
            <w:vAlign w:val="bottom"/>
          </w:tcPr>
          <w:p>
            <w:pPr>
              <w:spacing w:after="0"/>
              <w:rPr>
                <w:sz w:val="16"/>
                <w:szCs w:val="16"/>
                <w:color w:val="auto"/>
              </w:rPr>
            </w:pPr>
          </w:p>
        </w:tc>
        <w:tc>
          <w:tcPr>
            <w:tcW w:w="244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2"/>
              </w:rPr>
              <w:t>Executive</w:t>
            </w:r>
          </w:p>
        </w:tc>
        <w:tc>
          <w:tcPr>
            <w:tcW w:w="2520" w:type="dxa"/>
            <w:vAlign w:val="bottom"/>
            <w:gridSpan w:val="3"/>
          </w:tcPr>
          <w:p>
            <w:pPr>
              <w:jc w:val="center"/>
              <w:ind w:right="420"/>
              <w:spacing w:after="0" w:line="190" w:lineRule="exact"/>
              <w:rPr>
                <w:sz w:val="20"/>
                <w:szCs w:val="20"/>
                <w:color w:val="auto"/>
              </w:rPr>
            </w:pPr>
            <w:r>
              <w:rPr>
                <w:rFonts w:ascii="Arial" w:cs="Arial" w:eastAsia="Arial" w:hAnsi="Arial"/>
                <w:sz w:val="18"/>
                <w:szCs w:val="18"/>
                <w:color w:val="auto"/>
              </w:rPr>
              <w:t>Audit</w:t>
            </w:r>
          </w:p>
        </w:tc>
        <w:tc>
          <w:tcPr>
            <w:tcW w:w="2100" w:type="dxa"/>
            <w:vAlign w:val="bottom"/>
            <w:gridSpan w:val="2"/>
          </w:tcPr>
          <w:p>
            <w:pPr>
              <w:jc w:val="center"/>
              <w:ind w:right="460"/>
              <w:spacing w:after="0" w:line="190" w:lineRule="exact"/>
              <w:rPr>
                <w:sz w:val="20"/>
                <w:szCs w:val="20"/>
                <w:color w:val="auto"/>
              </w:rPr>
            </w:pPr>
            <w:r>
              <w:rPr>
                <w:rFonts w:ascii="Arial" w:cs="Arial" w:eastAsia="Arial" w:hAnsi="Arial"/>
                <w:sz w:val="18"/>
                <w:szCs w:val="18"/>
                <w:color w:val="auto"/>
                <w:w w:val="89"/>
              </w:rPr>
              <w:t>Corporate Governance</w:t>
            </w:r>
          </w:p>
        </w:tc>
        <w:tc>
          <w:tcPr>
            <w:tcW w:w="2140" w:type="dxa"/>
            <w:vAlign w:val="bottom"/>
            <w:gridSpan w:val="3"/>
          </w:tcPr>
          <w:p>
            <w:pPr>
              <w:jc w:val="center"/>
              <w:ind w:right="140"/>
              <w:spacing w:after="0" w:line="190" w:lineRule="exact"/>
              <w:rPr>
                <w:sz w:val="20"/>
                <w:szCs w:val="20"/>
                <w:color w:val="auto"/>
              </w:rPr>
            </w:pPr>
            <w:r>
              <w:rPr>
                <w:rFonts w:ascii="Arial" w:cs="Arial" w:eastAsia="Arial" w:hAnsi="Arial"/>
                <w:sz w:val="18"/>
                <w:szCs w:val="18"/>
                <w:color w:val="auto"/>
                <w:w w:val="89"/>
              </w:rPr>
              <w:t>Compensation</w:t>
            </w:r>
          </w:p>
        </w:tc>
      </w:tr>
      <w:tr>
        <w:trPr>
          <w:trHeight w:val="20"/>
        </w:trPr>
        <w:tc>
          <w:tcPr>
            <w:tcW w:w="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W. C. Nelson, Jr.</w:t>
            </w:r>
          </w:p>
        </w:tc>
        <w:tc>
          <w:tcPr>
            <w:tcW w:w="860" w:type="dxa"/>
            <w:vAlign w:val="bottom"/>
          </w:tcPr>
          <w:p>
            <w:pPr>
              <w:spacing w:after="0"/>
              <w:rPr>
                <w:sz w:val="19"/>
                <w:szCs w:val="19"/>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8"/>
                <w:szCs w:val="18"/>
                <w:color w:val="auto"/>
              </w:rPr>
              <w:t>M</w:t>
            </w:r>
          </w:p>
        </w:tc>
        <w:tc>
          <w:tcPr>
            <w:tcW w:w="840" w:type="dxa"/>
            <w:vAlign w:val="bottom"/>
          </w:tcPr>
          <w:p>
            <w:pPr>
              <w:spacing w:after="0"/>
              <w:rPr>
                <w:sz w:val="19"/>
                <w:szCs w:val="19"/>
                <w:color w:val="auto"/>
              </w:rPr>
            </w:pPr>
          </w:p>
        </w:tc>
        <w:tc>
          <w:tcPr>
            <w:tcW w:w="1680" w:type="dxa"/>
            <w:vAlign w:val="bottom"/>
            <w:gridSpan w:val="2"/>
          </w:tcPr>
          <w:p>
            <w:pPr>
              <w:jc w:val="center"/>
              <w:ind w:right="1240"/>
              <w:spacing w:after="0"/>
              <w:rPr>
                <w:sz w:val="20"/>
                <w:szCs w:val="20"/>
                <w:color w:val="auto"/>
              </w:rPr>
            </w:pPr>
            <w:r>
              <w:rPr>
                <w:rFonts w:ascii="Arial" w:cs="Arial" w:eastAsia="Arial" w:hAnsi="Arial"/>
                <w:sz w:val="18"/>
                <w:szCs w:val="18"/>
                <w:color w:val="auto"/>
                <w:w w:val="91"/>
              </w:rPr>
              <w:t>C</w:t>
            </w: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19"/>
                <w:szCs w:val="19"/>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rPr>
              <w:t>M</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Robert H. Blalock</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2"/>
          </w:tcPr>
          <w:p>
            <w:pPr>
              <w:jc w:val="center"/>
              <w:ind w:right="1240"/>
              <w:spacing w:after="0"/>
              <w:rPr>
                <w:sz w:val="20"/>
                <w:szCs w:val="20"/>
                <w:color w:val="auto"/>
              </w:rPr>
            </w:pPr>
            <w:r>
              <w:rPr>
                <w:rFonts w:ascii="Arial" w:cs="Arial" w:eastAsia="Arial" w:hAnsi="Arial"/>
                <w:sz w:val="18"/>
                <w:szCs w:val="18"/>
                <w:color w:val="auto"/>
              </w:rPr>
              <w:t>M</w:t>
            </w: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rPr>
              <w:t>M</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Cathy Cox</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2"/>
          </w:tcPr>
          <w:p>
            <w:pPr>
              <w:jc w:val="center"/>
              <w:ind w:right="1240"/>
              <w:spacing w:after="0"/>
              <w:rPr>
                <w:sz w:val="20"/>
                <w:szCs w:val="20"/>
                <w:color w:val="auto"/>
              </w:rPr>
            </w:pPr>
            <w:r>
              <w:rPr>
                <w:rFonts w:ascii="Arial" w:cs="Arial" w:eastAsia="Arial" w:hAnsi="Arial"/>
                <w:sz w:val="18"/>
                <w:szCs w:val="18"/>
                <w:color w:val="auto"/>
              </w:rPr>
              <w:t>M</w:t>
            </w: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C</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Robert L. Head, Jr.</w:t>
            </w:r>
          </w:p>
        </w:tc>
        <w:tc>
          <w:tcPr>
            <w:tcW w:w="860" w:type="dxa"/>
            <w:vAlign w:val="bottom"/>
          </w:tcPr>
          <w:p>
            <w:pPr>
              <w:spacing w:after="0"/>
              <w:rPr>
                <w:sz w:val="18"/>
                <w:szCs w:val="18"/>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C</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Hoyt O. Holloway</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rPr>
              <w:t>M</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John D. Stephens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rPr>
              <w:t>M</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860" w:type="dxa"/>
            <w:vAlign w:val="bottom"/>
          </w:tcPr>
          <w:p>
            <w:pPr>
              <w:spacing w:after="0"/>
              <w:rPr>
                <w:sz w:val="18"/>
                <w:szCs w:val="18"/>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8"/>
                <w:szCs w:val="18"/>
                <w:color w:val="auto"/>
              </w:rPr>
              <w:t>M</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Tim Wallis</w:t>
            </w: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rPr>
              <w:t>M</w:t>
            </w:r>
          </w:p>
        </w:tc>
        <w:tc>
          <w:tcPr>
            <w:tcW w:w="480" w:type="dxa"/>
            <w:vAlign w:val="bottom"/>
          </w:tcPr>
          <w:p>
            <w:pPr>
              <w:spacing w:after="0"/>
              <w:rPr>
                <w:sz w:val="20"/>
                <w:szCs w:val="20"/>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rPr>
              <w:t>M</w:t>
            </w:r>
          </w:p>
        </w:tc>
      </w:tr>
      <w:tr>
        <w:trPr>
          <w:trHeight w:val="608"/>
        </w:trPr>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10</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8"/>
        </w:trPr>
        <w:tc>
          <w:tcPr>
            <w:tcW w:w="4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certain limited exceptions, the Executive Committee may exercise all the power and authority of the Board of Directors in the management of the business and affairs of United. The Committee facilitates quick decision-making when it is not feasible to convene meetings of the entire Board of Directors or when management needs the advice and counsel of Board members between meetings of the Board. The Executive Committee met informally throughout 2009 but did not take any formal action during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While the Board of Directors has determined that all of the members of the Audit Committee are “financially sophisticated”, as defined under the Nasdaq Listing Requirements, the Board of Directors does not believe that any of the current members of the Audit Committee qualifies as an “audit committee financial expert” in accordance with the applicable rules and requirements of the SEC. Until his death in December 2009, former director A. William Bennett was an audit committee financial expert. As a result, United is actively seeking a potential new member of the Board of Directors who meets this definition.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met eight times during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2009.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above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eight nominees. Management of United has no reason to believe that any nominee will not serve if elected. All of the nominees are currently directors of United.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the Deferred Compensation Plan and the Modified Retirement Plan, and general compensation arrangements for all employees. It periodically reviews and makes recommendations to the Board with respect to Directors Compensation. The Compensation Committee met six times during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198" w:lineRule="exact"/>
        <w:rPr>
          <w:sz w:val="20"/>
          <w:szCs w:val="20"/>
          <w:color w:val="auto"/>
        </w:rPr>
      </w:pPr>
    </w:p>
    <w:p>
      <w:pPr>
        <w:ind w:left="1160" w:right="20" w:hanging="571"/>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46" w:lineRule="exact"/>
        <w:rPr>
          <w:rFonts w:ascii="Arial" w:cs="Arial" w:eastAsia="Arial" w:hAnsi="Arial"/>
          <w:sz w:val="17"/>
          <w:szCs w:val="17"/>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25" w:lineRule="exact"/>
        <w:rPr>
          <w:rFonts w:ascii="Arial" w:cs="Arial" w:eastAsia="Arial" w:hAnsi="Arial"/>
          <w:sz w:val="18"/>
          <w:szCs w:val="18"/>
          <w:color w:val="auto"/>
        </w:rPr>
      </w:pPr>
    </w:p>
    <w:p>
      <w:pPr>
        <w:ind w:left="1720" w:hanging="564"/>
        <w:spacing w:after="0" w:line="277"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right="20" w:firstLine="648"/>
        <w:spacing w:after="0" w:line="277"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Conduct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ucbi.com.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Shareholder Communication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United’s subsidiary bank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of the Board of Directors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has the important responsibility of ensuring that United’s executive compensation policies and practices are based on three simple principles:</w:t>
      </w:r>
    </w:p>
    <w:p>
      <w:pPr>
        <w:spacing w:after="0" w:line="197"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225"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compensation programs with sound risk management practices and a balance between short-term and long-term objectives that provide for value creation for the company and our shareholders.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Compensation Committee member has been an officer or employee of United, and the Board has considered and determined that all of the members are independent as “independent” is defined under the Nasdaq Listing Requirements. Most members of the Compensation Committee have a significant percentage of their net worth invested in shares of United and all members have interests aligned with the interests of other shareholders. The Compensation Committee’s charter is available in the corporate governance section of United’s website, ucbi.com.</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assist in determining how best to achieve the above objectives, the Compensation Committee previously conducted an interview process with several prominent compensation consulting firms that had no previous relationships with United and selected Towers Watson to advise it and the Board on executive compensation. Towers Watson has provided no other non-executive compensation consulting services to United.</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Compensation Committee adopted and the shareholders approved the Management Annual Incentive Plan in 2007. This “pay for performance” plan governed the level of bonuses that could be awarded by the Compensation Committee to senior executive officers during the past three years. The initial performance parameters were set by the Compensation Committee at the beginning of 2007, 2008 and 2009 and no bonuses were paid for any year.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United’s participation in the TARP Capital Purchase Program, United is also subject to substantial limitations with respect to its executive compensation practices.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goals, both short and long-term, creating expectations for positive results and rewarding them for strong performance. Different programs are geared to short and long-term performance with the goal of increasing shareholder value over the long 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earnings and earnings per share; growth or maintenance of market share, long-term competitive advantage, customer satisfaction and operating efficiencies; and, ultimately, in attaining long-term growth in the market price of United’s stock. At the same time, United does not believe its executive compensation programs should encourage unnecessary or excessive risks. United believes that the performance of its senior executives in managing the company, considered in light of economic, industry and competitive conditions, should be the basis for determining their overall compensation.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also believes that their compensation should not be excessive or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restricted stock and other equity incentive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TARP Capital Purchase Program</w:t>
      </w:r>
      <w:r>
        <w:rPr>
          <w:rFonts w:ascii="Arial" w:cs="Arial" w:eastAsia="Arial" w:hAnsi="Arial"/>
          <w:sz w:val="18"/>
          <w:szCs w:val="18"/>
          <w:color w:val="auto"/>
        </w:rPr>
        <w:t>. On December 5, 2008, as part of the United States Treasury Department’s (the “</w:t>
      </w:r>
      <w:r>
        <w:rPr>
          <w:rFonts w:ascii="Arial" w:cs="Arial" w:eastAsia="Arial" w:hAnsi="Arial"/>
          <w:sz w:val="18"/>
          <w:szCs w:val="18"/>
          <w:b w:val="1"/>
          <w:bCs w:val="1"/>
          <w:i w:val="1"/>
          <w:iCs w:val="1"/>
          <w:color w:val="auto"/>
        </w:rPr>
        <w:t>Treasury</w:t>
      </w:r>
      <w:r>
        <w:rPr>
          <w:rFonts w:ascii="Arial" w:cs="Arial" w:eastAsia="Arial" w:hAnsi="Arial"/>
          <w:sz w:val="18"/>
          <w:szCs w:val="18"/>
          <w:color w:val="auto"/>
        </w:rPr>
        <w:t>”) TARP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Program (the “</w:t>
      </w:r>
      <w:r>
        <w:rPr>
          <w:rFonts w:ascii="Arial" w:cs="Arial" w:eastAsia="Arial" w:hAnsi="Arial"/>
          <w:sz w:val="18"/>
          <w:szCs w:val="18"/>
          <w:b w:val="1"/>
          <w:bCs w:val="1"/>
          <w:i w:val="1"/>
          <w:iCs w:val="1"/>
          <w:color w:val="auto"/>
        </w:rPr>
        <w:t>CPP</w:t>
      </w:r>
      <w:r>
        <w:rPr>
          <w:rFonts w:ascii="Arial" w:cs="Arial" w:eastAsia="Arial" w:hAnsi="Arial"/>
          <w:sz w:val="18"/>
          <w:szCs w:val="18"/>
          <w:color w:val="auto"/>
        </w:rPr>
        <w:t>”), United entered into an Agreement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with Treasury, pursuant to which United sold 180,000 shares of Series B Cumulative Preferred Stock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a warrant to purchase shares of common stock for an aggregate purchase price of $180 million in cash.</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Purchase Agreement, United agreed that, until such time as Treasury ceases to own any securities of United acquired pursuant to the Purchase Agreement, United will take all necessary action to ensure that its benefit plans with respect to its senior executive officers comply with Section 111(b) of the Emergency Economic Stabilization Act of 2008 (the “</w:t>
      </w:r>
      <w:r>
        <w:rPr>
          <w:rFonts w:ascii="Arial" w:cs="Arial" w:eastAsia="Arial" w:hAnsi="Arial"/>
          <w:sz w:val="16"/>
          <w:szCs w:val="16"/>
          <w:b w:val="1"/>
          <w:bCs w:val="1"/>
          <w:i w:val="1"/>
          <w:iCs w:val="1"/>
          <w:color w:val="auto"/>
        </w:rPr>
        <w:t>EESA</w:t>
      </w:r>
      <w:r>
        <w:rPr>
          <w:rFonts w:ascii="Arial" w:cs="Arial" w:eastAsia="Arial" w:hAnsi="Arial"/>
          <w:sz w:val="16"/>
          <w:szCs w:val="16"/>
          <w:color w:val="auto"/>
        </w:rPr>
        <w:t>”) as implemented by any guidance or regulation under the EESA and agreed to not adopt any benefit plans with respect to, or which covers, its senior executive officers that do not comply with the EESA, and the applicable executives have consented to the foregoing. Section 111(b)(2) of EESA provides for the executive compensation and corporate governance standards to include:</w:t>
      </w:r>
    </w:p>
    <w:p>
      <w:pPr>
        <w:spacing w:after="0" w:line="185" w:lineRule="exact"/>
        <w:rPr>
          <w:sz w:val="20"/>
          <w:szCs w:val="20"/>
          <w:color w:val="auto"/>
        </w:rPr>
      </w:pPr>
    </w:p>
    <w:p>
      <w:pPr>
        <w:ind w:left="1160" w:hanging="571"/>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compensation that exclude incentives for senior executive officers of financial institutions to take unnecessary and excessive risks that threaten the value of the financial institution;</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recovery of any bonus or incentive compensation paid to a senior executive officer based on statements of earnings, gains, or other criteria that are later proven to be materially inaccurate;</w:t>
      </w:r>
    </w:p>
    <w:p>
      <w:pPr>
        <w:spacing w:after="0" w:line="170"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prohibition on the financial institution from making any “excess parachute payment” to any senior executive officer, as defined under Section 280G of the Internal Revenue Code (an “</w:t>
      </w:r>
      <w:r>
        <w:rPr>
          <w:rFonts w:ascii="Arial" w:cs="Arial" w:eastAsia="Arial" w:hAnsi="Arial"/>
          <w:sz w:val="18"/>
          <w:szCs w:val="18"/>
          <w:b w:val="1"/>
          <w:bCs w:val="1"/>
          <w:i w:val="1"/>
          <w:iCs w:val="1"/>
          <w:color w:val="auto"/>
        </w:rPr>
        <w:t>Excess Severance Payment</w:t>
      </w:r>
      <w:r>
        <w:rPr>
          <w:rFonts w:ascii="Arial" w:cs="Arial" w:eastAsia="Arial" w:hAnsi="Arial"/>
          <w:sz w:val="18"/>
          <w:szCs w:val="18"/>
          <w:color w:val="auto"/>
        </w:rPr>
        <w:t>”) during the period that Treasury holds an equity or debt position; and</w:t>
      </w:r>
    </w:p>
    <w:p>
      <w:pPr>
        <w:spacing w:after="0" w:line="181"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agreement to limit a claim for a federal income tax deduction with respect to a senior executive’s compensation that exceeds $500,000 per year.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American Recovery and Reinvestment Act. </w:t>
      </w:r>
      <w:r>
        <w:rPr>
          <w:rFonts w:ascii="Arial" w:cs="Arial" w:eastAsia="Arial" w:hAnsi="Arial"/>
          <w:sz w:val="17"/>
          <w:szCs w:val="17"/>
          <w:color w:val="auto"/>
        </w:rPr>
        <w:t>On February 17, 2009, the American Recovery and Reinvestment Act of 2009 (the “</w:t>
      </w:r>
      <w:r>
        <w:rPr>
          <w:rFonts w:ascii="Arial" w:cs="Arial" w:eastAsia="Arial" w:hAnsi="Arial"/>
          <w:sz w:val="17"/>
          <w:szCs w:val="17"/>
          <w:b w:val="1"/>
          <w:bCs w:val="1"/>
          <w:i w:val="1"/>
          <w:iCs w:val="1"/>
          <w:color w:val="auto"/>
        </w:rPr>
        <w:t>ARRA</w:t>
      </w:r>
      <w:r>
        <w:rPr>
          <w:rFonts w:ascii="Arial" w:cs="Arial" w:eastAsia="Arial" w:hAnsi="Arial"/>
          <w:sz w:val="17"/>
          <w:szCs w:val="17"/>
          <w:color w:val="auto"/>
        </w:rPr>
        <w:t>”) was</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The ARRA imposed new executive compensation and corporate expenditure limits on all TARP recipients until the institution has repaid Treasury the amount of a CPP investment. The new ARRA standards that apply to United and its senior executive officers include:</w:t>
      </w:r>
    </w:p>
    <w:p>
      <w:pPr>
        <w:spacing w:after="0" w:line="193" w:lineRule="exact"/>
        <w:rPr>
          <w:sz w:val="20"/>
          <w:szCs w:val="20"/>
          <w:color w:val="auto"/>
        </w:rPr>
      </w:pPr>
    </w:p>
    <w:p>
      <w:pPr>
        <w:ind w:left="1160" w:hanging="571"/>
        <w:spacing w:after="0" w:line="342"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prohibition on bonuses, retention awards and other incentive compensation, other than the granting of restricted stock awards which are limited to one-third of an employee’s total annual compensation and further, that do not fully vest while Treasury holds an investment;</w:t>
      </w:r>
    </w:p>
    <w:p>
      <w:pPr>
        <w:spacing w:after="0" w:line="123" w:lineRule="exact"/>
        <w:rPr>
          <w:rFonts w:ascii="Arial" w:cs="Arial" w:eastAsia="Arial" w:hAnsi="Arial"/>
          <w:sz w:val="16"/>
          <w:szCs w:val="16"/>
          <w:color w:val="auto"/>
        </w:rPr>
      </w:pPr>
    </w:p>
    <w:p>
      <w:pPr>
        <w:ind w:left="1160" w:hanging="571"/>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prohibition on making any payments for departure from United other than compensation earned for services rendered or accrued benefits;</w:t>
      </w:r>
    </w:p>
    <w:p>
      <w:pPr>
        <w:spacing w:after="0" w:line="248" w:lineRule="exact"/>
        <w:rPr>
          <w:rFonts w:ascii="Arial" w:cs="Arial" w:eastAsia="Arial" w:hAnsi="Arial"/>
          <w:sz w:val="16"/>
          <w:szCs w:val="16"/>
          <w:color w:val="auto"/>
        </w:rPr>
      </w:pPr>
    </w:p>
    <w:p>
      <w:pPr>
        <w:ind w:left="1160" w:hanging="571"/>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subjecting bonus, retention awards and other incentive compensation to repayment (clawback) if such payments were based on statements of earnings, revenues, gains or other criteria that are later found to be materially inaccurate;</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on compensation plans that encourage manipulation of reported earnings;</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required company-wide policy regarding excessive or luxury expenditures including office and facility renovations, aviation or other transportation services and other activities or events that are not reasonable expenditures for staff development, reasonable performance incentives or similar measures in the ordinary course of business; and</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inclusion of a “say-on-pay” proposal to a non-binding vote of shareholders at the Annual Meetings, whereby shareholders vote to approve the compensation of executives.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Amendments to Compensation Arrangements. </w:t>
      </w:r>
      <w:r>
        <w:rPr>
          <w:rFonts w:ascii="Arial" w:cs="Arial" w:eastAsia="Arial" w:hAnsi="Arial"/>
          <w:sz w:val="18"/>
          <w:szCs w:val="18"/>
          <w:color w:val="auto"/>
        </w:rPr>
        <w:t>As required by ARRA, a number of amendments were made to our compensation program. The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w:t>
      </w:r>
    </w:p>
    <w:p>
      <w:pPr>
        <w:spacing w:after="0" w:line="197" w:lineRule="exact"/>
        <w:rPr>
          <w:sz w:val="20"/>
          <w:szCs w:val="20"/>
          <w:color w:val="auto"/>
        </w:rPr>
      </w:pPr>
    </w:p>
    <w:p>
      <w:pPr>
        <w:ind w:left="1160" w:hanging="571"/>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Bonuses, retention awards and other incentive compensation payments to senior executive officers have been prohibited while Treasury holds an investment.</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Named Executive Officers have executed a letter agreement waiving their right to any severance payment that violates the ARRA.</w:t>
      </w:r>
    </w:p>
    <w:p>
      <w:pPr>
        <w:spacing w:after="0" w:line="248" w:lineRule="exact"/>
        <w:rPr>
          <w:rFonts w:ascii="Arial" w:cs="Arial" w:eastAsia="Arial" w:hAnsi="Arial"/>
          <w:sz w:val="16"/>
          <w:szCs w:val="16"/>
          <w:color w:val="auto"/>
        </w:rPr>
      </w:pPr>
    </w:p>
    <w:p>
      <w:pPr>
        <w:jc w:val="both"/>
        <w:ind w:left="1160" w:right="20" w:hanging="571"/>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policy has been adopted that subjects to clawback any bonus payment or award made while Treasury holds an investment based on materially inaccurate financial statements or performance metrics. In addition, all of the Named Executive Officers and other applicable employees that could be one of the twenty most highly compensated employees during the time that Treasury holds an investment have executed a letter agreement agreeing to such clawback policy.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Incentive Compensation Plan Risk Assessment. </w:t>
      </w:r>
      <w:r>
        <w:rPr>
          <w:rFonts w:ascii="Arial" w:cs="Arial" w:eastAsia="Arial" w:hAnsi="Arial"/>
          <w:sz w:val="18"/>
          <w:szCs w:val="18"/>
          <w:color w:val="auto"/>
        </w:rPr>
        <w:t>In addition to EESA and ARRA,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now</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the Compensation Committee review United’s compensation arrangements with the members of management responsible for risk management for all employees to determine if any such arrangements create risks that are reasonably likely to have a material adverse effect on United. The Compensation Committee also considered whether they encourage excessive or unnecessary risk-taking by our senior executive officers. As part of its review, the Compensation Committee considered the various risks to which United is subject, including market, liquidity, interest rate, operational, financial, credit quality and other risks, and how United’s incentive compensation programs may contribute to risk. The Compensation Committee also considered United’s controls and actions taken to mitigate and monitor those risks.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firstLine="648"/>
        <w:spacing w:after="0" w:line="276" w:lineRule="auto"/>
        <w:rPr>
          <w:sz w:val="20"/>
          <w:szCs w:val="20"/>
          <w:color w:val="auto"/>
        </w:rPr>
      </w:pPr>
      <w:r>
        <w:rPr>
          <w:rFonts w:ascii="Arial" w:cs="Arial" w:eastAsia="Arial" w:hAnsi="Arial"/>
          <w:sz w:val="17"/>
          <w:szCs w:val="17"/>
          <w:color w:val="auto"/>
        </w:rPr>
        <w:t>As previously described, because no bonuses, retention awards and other incentive compensation payments may be made to senior executive officers while Treasury holds an investment, the Compensation Committee determined that none of the incentive compensation plans applicable to Named Executive Officers create or encourage undue risks or are reasonably likely to have a material adverse effect on United. Generally, the Compensation Committee concluded that United’s incentive compensation programs applicable to Senior Management are designed to encourage long-term growth and shareholder value-creation, the delivery of superior customer service to promote core loan and deposit growth.</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United maintains incentive compensation plans that pay loan and deposit production incentives to bank personnel. Incentives are paid for various measures of production consistent with United’s goals for the year. As part of the Compensation Committee’s risk assessment, the Committee noted that the incentive compensation plans for lenders presented somewhat more risk than other plans because commissions were based on loan production volume and constituted a higher portion of the company’s incentive compensation expense than the other plans. However, as part of the risk assessment, the Compensation Committee concluded that these plans do not create risks that are reasonably likely to have a material adverse effect on United because all loans must be approved by credit underwriting and, depending on the size of the loan or credit relationship, bank management prior to being made, and all incentive payments are subject to reduction at the discretion of management for any reason in an amount up to 35% and in management’s discretion in an amount up to 100% based on the historical performance of loans in each lender’s loan portfolio. Nonetheless, as part of this review, the Compensation Committee is in the process of implementing additional controls for each loan production plan to ensure appropriate risk mitigation. Specifically, incentive payments under these plans are being adjusted so that they are subject to clawbacks and will be paid in installments over the life of the loan so that the full incentive payment will not be paid until the loan is repaid.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Though not members of the Compensation Committee in 2009, Jimmy Tallent, United’s Chief Executive Officer, and Rex Schuette, United’s Executive Vice President and Chief Financial Officer, were invited to most Compensation Committee meetings along with Robert Head, Chairman of the Board of Directors, and Zell Miller, Director Emeritus.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with respect to Mr. Schuette, Mr. Freeman - United’s Executive Vice President and Chief Operating Officer, Mr. Shearrow - United’s Executive Vice President and Chief Risk Officer, and Mr. White - United’s President of the Atlanta Region (referred to herein together with Mr. Tallent as the “</w:t>
      </w:r>
      <w:r>
        <w:rPr>
          <w:rFonts w:ascii="Arial" w:cs="Arial" w:eastAsia="Arial" w:hAnsi="Arial"/>
          <w:sz w:val="17"/>
          <w:szCs w:val="17"/>
          <w:b w:val="1"/>
          <w:bCs w:val="1"/>
          <w:i w:val="1"/>
          <w:iCs w:val="1"/>
          <w:color w:val="auto"/>
        </w:rPr>
        <w:t>Named Executive Officers</w:t>
      </w:r>
      <w:r>
        <w:rPr>
          <w:rFonts w:ascii="Arial" w:cs="Arial" w:eastAsia="Arial" w:hAnsi="Arial"/>
          <w:sz w:val="17"/>
          <w:szCs w:val="17"/>
          <w:color w:val="auto"/>
        </w:rPr>
        <w:t>”), the Committee also considered the recommendations of Mr. Tallent in 2009.</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6"/>
          <w:szCs w:val="16"/>
          <w:color w:val="auto"/>
        </w:rPr>
        <w:t>In performing its responsibilities for executive compensation, the Compensation Committee has sole authority to, and does to the extent it deems necessary or desirable, retain and consult with outside professional advisors. During 2009, Towers Watson advised the Compensation Committee and the Board on executive compensation and the TARP restrictions and limits on cash bonus, options and restricted stock. Towers Watson reported directly to the Compensation Committee. Towers Watson performed a study of the compensation of executive management of companies within the industry and with companies of comparable size. The groups used to compare executive compensation include (1) a peer group of 14 bank holding companies with asset sizes ranging from $6.4 to $11.2 billion and a median of $8.2 billion (the “</w:t>
      </w:r>
      <w:r>
        <w:rPr>
          <w:rFonts w:ascii="Arial" w:cs="Arial" w:eastAsia="Arial" w:hAnsi="Arial"/>
          <w:sz w:val="16"/>
          <w:szCs w:val="16"/>
          <w:b w:val="1"/>
          <w:bCs w:val="1"/>
          <w:i w:val="1"/>
          <w:iCs w:val="1"/>
          <w:color w:val="auto"/>
        </w:rPr>
        <w:t>Peer Group</w:t>
      </w:r>
      <w:r>
        <w:rPr>
          <w:rFonts w:ascii="Arial" w:cs="Arial" w:eastAsia="Arial" w:hAnsi="Arial"/>
          <w:sz w:val="16"/>
          <w:szCs w:val="16"/>
          <w:color w:val="auto"/>
        </w:rPr>
        <w:t>”) and a reference group of nine bank holding companies with asset sizes ranging from $11 to $14 billion with a median asset size of $12.9 billion (the “</w:t>
      </w:r>
      <w:r>
        <w:rPr>
          <w:rFonts w:ascii="Arial" w:cs="Arial" w:eastAsia="Arial" w:hAnsi="Arial"/>
          <w:sz w:val="16"/>
          <w:szCs w:val="16"/>
          <w:b w:val="1"/>
          <w:bCs w:val="1"/>
          <w:i w:val="1"/>
          <w:iCs w:val="1"/>
          <w:color w:val="auto"/>
        </w:rPr>
        <w:t>Reference Group</w:t>
      </w:r>
      <w:r>
        <w:rPr>
          <w:rFonts w:ascii="Arial" w:cs="Arial" w:eastAsia="Arial" w:hAnsi="Arial"/>
          <w:sz w:val="16"/>
          <w:szCs w:val="16"/>
          <w:color w:val="auto"/>
        </w:rPr>
        <w:t>”), approximately the asset size to which United may grow in the next three to five years based on recent growth. The Peer Group consisted of Bank of Hawaii Corporation, Boston Private Financial Holdings, Inc., First Midwest Bancorp, Inc., FirstMerit Corporation, International Bancshares Corporation, MB Financial, Inc., Old National Bancorp, Pacific Capital Bancorp, Provident Bancshares Corporation, Trustmark Corporation, UMB Financial Corporation, Umpqua Holdings Corporation, United Bancshares, Inc. and Wintrust Financial Corporation. The Reference Group consisted of BancorpSouth, Inc., Citizens Republic Bancorp, Inc., Cullen/Frost Bankers, Inc., South Financial Group, Inc., Sterling Financial Corporation, Susquehanna Bancshares, Inc., Valley National Bancorp, Whitney Holding Corporation and Wilmington Trust Corporation. The Compensation Committee also compared United’s executive compensation to published executive compensation surveys, including bank holding companies with similar asset sizes, compiled with the assistance of Towers Watson (the “</w:t>
      </w:r>
      <w:r>
        <w:rPr>
          <w:rFonts w:ascii="Arial" w:cs="Arial" w:eastAsia="Arial" w:hAnsi="Arial"/>
          <w:sz w:val="16"/>
          <w:szCs w:val="16"/>
          <w:b w:val="1"/>
          <w:bCs w:val="1"/>
          <w:i w:val="1"/>
          <w:iCs w:val="1"/>
          <w:color w:val="auto"/>
        </w:rPr>
        <w:t>Published Surveys</w:t>
      </w:r>
      <w:r>
        <w:rPr>
          <w:rFonts w:ascii="Arial" w:cs="Arial" w:eastAsia="Arial" w:hAnsi="Arial"/>
          <w:sz w:val="16"/>
          <w:szCs w:val="16"/>
          <w:color w:val="auto"/>
        </w:rPr>
        <w:t>”).</w:t>
      </w:r>
    </w:p>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Compensation Committee compares the performance of United to the performance of the companies in the Peer Group and Reference Group and establishes United’s compensation practices similar to or more or less than such companies consistent with its goal of competitively compensating United’s Named Executive Officers. The Compensation Committee has attempted to compensate its Named Executive Officers comparable to executive officers at Peer Group and Reference Group companies but generally above the median compensation paid in each such group. The Compensation Committee also uses Towers Watson’s analysis to assist in determining the amounts of each element of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Compensation for each senior executive is allocated among annual base salary, annual non-equity incentive awards and equity incentive awards. The Compensation Committee chooses to pay each element of compensation in order to attract, retain and motivate highly qualified executive talent, reward superior annual performance and provide incentives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Economic conditions and the credit environment were very difficult throughout 2009. With the recession and unemployment worsening, business activity across a wide range of industries and regions was greatly reduced and local governments and businesses are in serious difficulty due to the lack of consumer spending and the lack of liquidity in the credit markets. This overall environment and difficulty in United’s markets, particularly the Atlanta metropolitan area, has led to a decrease in real estate values and an increase in United’s non-performing loans and charge-offs. As a result, United incurred net losses of $228.3 million and $63.5 million for 2009 and 2008, respectively. These losses were primarily due to higher credit costs in both years, goodwill impairment charges in 2009 and net interest margin compression in 2008. Management took proactive steps in late 2008 and throughout 2009 to mitigate the credit issues, improve the net interest margin and control expenses, but the overall performance for the company was disappointing for 2009.</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the Compensation Committee determined that for 2009, senior management should be compensated with equity incentive awards for their efforts at positioning United for improved long-term performance, but that cash compensation should be tempered in light of actual 2009 performance. The Compensation Committee also believes that compensation for United’s senior management should reflect the Board’s continued confidence in and its desire to retain the current team to continue to manage the company through these difficult times. The following is a summary of the Compensation Committee’s actions during 2009 with respect to annual base salary, non-equity incentive compensation awards and equity incentive compensation awards.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competitive with companies in the financial services industry and companies that are comparable in size and performance.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2009, 2008 and 2007, the Compensation Committee did not increase the annual base salaries for any of the Named Executive Officers. Also, United did not increase annual base salaries for any other members of senior management in 2009 and 2008. Further, for 2009, Mr. Tallent voluntarily requested that his salary be reduced by $80,000; the Compensation Committee reluctantly accepted his recommendation.</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Non-Equity Incentive Awards. </w:t>
      </w:r>
      <w:r>
        <w:rPr>
          <w:rFonts w:ascii="Arial" w:cs="Arial" w:eastAsia="Arial" w:hAnsi="Arial"/>
          <w:sz w:val="17"/>
          <w:szCs w:val="17"/>
          <w:color w:val="auto"/>
        </w:rPr>
        <w:t>The Compensation Committee believes that its senior management’s incentive compensation should be linked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to achievement of specified financial and non-financial objectives. Under United’s Management Annual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Internal Revenue Code Section 162(m).</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In the first quarter of 2009, the Committee established the performance parameters to be used for 2009 under the Management Annual Incentive Plan, balancing the need to reward and retain executive management in a challenging banking environment with shareholders’ desire for strong financial performance with appropriate risk.</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key performance measure considered by the Committee for fiscal year 2009 was pre-tax, pre-credit earnings, viewed as the primary quantitative performance measure. Additionally, if the minimum threshold target was met, the Committee had negative discretion to lower the targeted bonus level based on several qualitative performance measures. The qualitative performance measures included targeted levels of provision for loan losses, core deposit growth, and headcount and expense reduction; net interest margin; operating efficiency ratio; and customer satisfaction level.</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receive a bonus award, pre-tax, pre-credit earnings must have reached a minimum level of $75 million, and higher bonus awards could be paid if United achieved $125 million in pre-tax, pre-credit earnings for the year. Participants could have earned from 45 percent to 200 percent of their base salary, depending upon achievement against the performance thresholds. If the minimum or a higher targeted level of pre-tax, pre-credit earnings was met, the bonus award could be reduced by the Committee based on the collective performance of the qualitative measures discussed above. The actual pre-tax, pre-credit earnings for 2009 was $110.7 million.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though the primary measure was above the minimum level, the other financial performance measures were not met during 2009. Therefore, the Compensation Committee did not grant non-equity incentive compensation awards or cash bonuses in 2009 to any Named Executive Officers or any other member of senior management. Also, United did not grant non-equity incentive compensation awards or cash bonuses to the Named Executive Officers in 2008 or 2007.</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Equity Incentive Awards. </w:t>
      </w:r>
      <w:r>
        <w:rPr>
          <w:rFonts w:ascii="Arial" w:cs="Arial" w:eastAsia="Arial" w:hAnsi="Arial"/>
          <w:sz w:val="18"/>
          <w:szCs w:val="18"/>
          <w:color w:val="auto"/>
        </w:rPr>
        <w:t>An important element of compensation in the banking industry is the provision of long-term incentives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such as stock options, restricted stock, and restricted stock units.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and the market price of United’s common stock, United believes that granting stock options is the best method of motivating executive and other senior management to manage the company in a manner that is consistent with the long-term interests of United’s shareholders.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Equity incentive awards are granted under the Equity Plan, which is a broad-based, shareholder approved plan covering Named Executive Officers, other members of senior management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Equity Plan does not permit the grant price for options to be reduced after the initial grant date. Because participants may not exercise options until they vest and because the exercise price of the options is the fair market value of the underlying stock on the date of grant, participants do not realize any benefit from stock options unless United’s stock price appreciates prior to their maturity.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2009, options to acquire 354,450 (357,261 adjusted for subsequent 2009 stock dividends) shares of common stock were awarded by the Compensation Committee, none of which were awarded to the Named Executive Officers. Additionally, 106,000 (107,669 adjusted for subsequent 2009 stock dividends) restricted stock awards were awarded during 2009, including 100,000 (101,545 adjusted for subsequent 2009 stock dividends) restricted stock units awarded to the Named Executive Officers.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certain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key personnel. See the disclosure provided in “Executive Compensation – Pension Benefits” for a description of the material terms of the Modified Retirement Plan and disclosure of 2009 benefits provided to the Named Executive Officers under the Modified Retirement Plan.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2009 benefits provided to the Named Executive Officers under the Deferred Compensation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perquisites provided to United’s Named Executive Officers in 2009 were the use of a company-owned car or a car allowance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similar benefits.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United’s Named Executive Officers also participate in company-wide contributions to the 401(k) Plan and receive other benefits on the same terms as other employees, which plans include medical, dental and life insurance.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options and restricted stock/unit grants continue to vest for United’s Named Executive Officers in the event of the officer’s termination without cause or a termination by the officer for Good Reason (as defined in the award agreements). Mr. White’s option grants are accelerated upon a change in control. Otherwise, options and restricted stock awards cease vesting upon termination of employment.</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by the acquisition agreement pursuant to which United acquired Gwinnett Commercial Group, United entered into an Employment Agreement with Mr. White consistent with an existing agreement he had with such company. See the disclosure provided in “Executive Compensation – Agreements with Executive Officers” for a description of the material terms of such agreement, including severance benefits to Mr. White under certain circumstances. As previously described,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does not provide for any other severance benefits to its Named Executive Officers, except as described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that reason, United’s Named Executive Officers have each entered into agreements with the company, the terms of which are described in “Executive Compensation -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Based upon (1) a hypothetical change in control and (2) the termination of our Named Executive Officers as of December 31, 2009, all payments of compensation and benefits under the agreements with such officers that would be payable in a lump sum (except for Mr. White, who would be paid in 24-monthly installments) and capped at the following approximate amounts: Mr. Tallent $2,362,106; Mr. Freeman $1,494,556; Mr. Schuette $1,049,841; Mr. Shearrow $1,089,656 and Mr. White $2,367,571. The Compensation Committee believes that these potential benefits would be minor relative to the substantial transaction value for United’s shareholders. Without the cap, the payments of salary, bonus and benefits would have exceeded such amounts.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None of these payments would be considered Excess Parachute Payments but all of such payments by United would be prohibited by the ARRA during the time Treasury owns the preferred stock it purchased under CPP. As previously described, all of the Named Executive Officers have executed a letter agreement waiving their right to any severance payment that violates the ARRA.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242175" cy="167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8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Change in</w:t>
            </w:r>
          </w:p>
        </w:tc>
        <w:tc>
          <w:tcPr>
            <w:tcW w:w="2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pension value</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Restricted</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Stock</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8"/>
              </w:rPr>
              <w:t>and deferred</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stock</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3"/>
              </w:rPr>
              <w:t>option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incentive plan</w:t>
            </w:r>
          </w:p>
        </w:tc>
        <w:tc>
          <w:tcPr>
            <w:tcW w:w="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compensation</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7"/>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and principal position</w:t>
            </w:r>
          </w:p>
        </w:tc>
        <w:tc>
          <w:tcPr>
            <w:tcW w:w="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w:t>
            </w:r>
          </w:p>
        </w:tc>
        <w:tc>
          <w:tcPr>
            <w:tcW w:w="1000" w:type="dxa"/>
            <w:vAlign w:val="bottom"/>
            <w:tcBorders>
              <w:bottom w:val="single" w:sz="8" w:color="auto"/>
              <w:right w:val="single" w:sz="8" w:color="auto"/>
            </w:tcBorders>
          </w:tcPr>
          <w:p>
            <w:pPr>
              <w:jc w:val="right"/>
              <w:ind w:right="90"/>
              <w:spacing w:after="0" w:line="230" w:lineRule="exact"/>
              <w:rPr>
                <w:sz w:val="20"/>
                <w:szCs w:val="20"/>
                <w:color w:val="auto"/>
              </w:rPr>
            </w:pPr>
            <w:r>
              <w:rPr>
                <w:rFonts w:ascii="Arial" w:cs="Arial" w:eastAsia="Arial" w:hAnsi="Arial"/>
                <w:sz w:val="18"/>
                <w:szCs w:val="18"/>
                <w:color w:val="auto"/>
              </w:rPr>
              <w:t xml:space="preserve">Salary </w:t>
            </w:r>
            <w:r>
              <w:rPr>
                <w:rFonts w:ascii="Arial" w:cs="Arial" w:eastAsia="Arial" w:hAnsi="Arial"/>
                <w:sz w:val="25"/>
                <w:szCs w:val="25"/>
                <w:color w:val="auto"/>
                <w:vertAlign w:val="superscript"/>
              </w:rPr>
              <w:t>(1)</w:t>
            </w:r>
          </w:p>
        </w:tc>
        <w:tc>
          <w:tcPr>
            <w:tcW w:w="900" w:type="dxa"/>
            <w:vAlign w:val="bottom"/>
            <w:tcBorders>
              <w:bottom w:val="single" w:sz="8" w:color="auto"/>
              <w:right w:val="single" w:sz="8" w:color="auto"/>
            </w:tcBorders>
            <w:gridSpan w:val="2"/>
          </w:tcPr>
          <w:p>
            <w:pPr>
              <w:jc w:val="right"/>
              <w:ind w:right="110"/>
              <w:spacing w:after="0" w:line="230" w:lineRule="exact"/>
              <w:rPr>
                <w:sz w:val="20"/>
                <w:szCs w:val="20"/>
                <w:color w:val="auto"/>
              </w:rPr>
            </w:pPr>
            <w:r>
              <w:rPr>
                <w:rFonts w:ascii="Arial" w:cs="Arial" w:eastAsia="Arial" w:hAnsi="Arial"/>
                <w:sz w:val="18"/>
                <w:szCs w:val="18"/>
                <w:color w:val="auto"/>
                <w:w w:val="95"/>
              </w:rPr>
              <w:t>Bonus</w:t>
            </w:r>
            <w:r>
              <w:rPr>
                <w:rFonts w:ascii="Arial" w:cs="Arial" w:eastAsia="Arial" w:hAnsi="Arial"/>
                <w:sz w:val="25"/>
                <w:szCs w:val="25"/>
                <w:color w:val="auto"/>
                <w:w w:val="95"/>
                <w:vertAlign w:val="superscript"/>
              </w:rPr>
              <w:t>(1)</w:t>
            </w:r>
          </w:p>
        </w:tc>
        <w:tc>
          <w:tcPr>
            <w:tcW w:w="880" w:type="dxa"/>
            <w:vAlign w:val="bottom"/>
            <w:tcBorders>
              <w:bottom w:val="single" w:sz="8" w:color="auto"/>
              <w:right w:val="single" w:sz="8" w:color="auto"/>
            </w:tcBorders>
          </w:tcPr>
          <w:p>
            <w:pPr>
              <w:jc w:val="center"/>
              <w:ind w:right="10"/>
              <w:spacing w:after="0" w:line="230"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(2)</w:t>
            </w:r>
          </w:p>
        </w:tc>
        <w:tc>
          <w:tcPr>
            <w:tcW w:w="900" w:type="dxa"/>
            <w:vAlign w:val="bottom"/>
            <w:tcBorders>
              <w:bottom w:val="single" w:sz="8" w:color="auto"/>
              <w:right w:val="single" w:sz="8" w:color="auto"/>
            </w:tcBorders>
            <w:gridSpan w:val="2"/>
          </w:tcPr>
          <w:p>
            <w:pPr>
              <w:jc w:val="center"/>
              <w:ind w:right="10"/>
              <w:spacing w:after="0" w:line="230" w:lineRule="exact"/>
              <w:rPr>
                <w:sz w:val="20"/>
                <w:szCs w:val="20"/>
                <w:color w:val="auto"/>
              </w:rPr>
            </w:pPr>
            <w:r>
              <w:rPr>
                <w:rFonts w:ascii="Arial" w:cs="Arial" w:eastAsia="Arial" w:hAnsi="Arial"/>
                <w:sz w:val="18"/>
                <w:szCs w:val="18"/>
                <w:color w:val="auto"/>
                <w:w w:val="81"/>
              </w:rPr>
              <w:t>awards</w:t>
            </w:r>
            <w:r>
              <w:rPr>
                <w:rFonts w:ascii="Arial" w:cs="Arial" w:eastAsia="Arial" w:hAnsi="Arial"/>
                <w:sz w:val="25"/>
                <w:szCs w:val="25"/>
                <w:color w:val="auto"/>
                <w:w w:val="81"/>
                <w:vertAlign w:val="superscript"/>
              </w:rPr>
              <w:t>(2)</w:t>
            </w:r>
          </w:p>
        </w:tc>
        <w:tc>
          <w:tcPr>
            <w:tcW w:w="1240" w:type="dxa"/>
            <w:vAlign w:val="bottom"/>
            <w:tcBorders>
              <w:bottom w:val="single" w:sz="8" w:color="auto"/>
              <w:right w:val="single" w:sz="8" w:color="auto"/>
            </w:tcBorders>
            <w:gridSpan w:val="2"/>
          </w:tcPr>
          <w:p>
            <w:pPr>
              <w:jc w:val="center"/>
              <w:ind w:right="20"/>
              <w:spacing w:after="0" w:line="230" w:lineRule="exact"/>
              <w:rPr>
                <w:sz w:val="20"/>
                <w:szCs w:val="20"/>
                <w:color w:val="auto"/>
              </w:rPr>
            </w:pPr>
            <w:r>
              <w:rPr>
                <w:rFonts w:ascii="Arial" w:cs="Arial" w:eastAsia="Arial" w:hAnsi="Arial"/>
                <w:sz w:val="18"/>
                <w:szCs w:val="18"/>
                <w:color w:val="auto"/>
                <w:w w:val="86"/>
              </w:rPr>
              <w:t>compensation</w:t>
            </w:r>
            <w:r>
              <w:rPr>
                <w:rFonts w:ascii="Arial" w:cs="Arial" w:eastAsia="Arial" w:hAnsi="Arial"/>
                <w:sz w:val="25"/>
                <w:szCs w:val="25"/>
                <w:color w:val="auto"/>
                <w:w w:val="86"/>
                <w:vertAlign w:val="superscript"/>
              </w:rPr>
              <w:t>(3)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ind w:right="150"/>
              <w:spacing w:after="0" w:line="230" w:lineRule="exact"/>
              <w:rPr>
                <w:sz w:val="20"/>
                <w:szCs w:val="20"/>
                <w:color w:val="auto"/>
              </w:rPr>
            </w:pPr>
            <w:r>
              <w:rPr>
                <w:rFonts w:ascii="Arial" w:cs="Arial" w:eastAsia="Arial" w:hAnsi="Arial"/>
                <w:sz w:val="18"/>
                <w:szCs w:val="18"/>
                <w:color w:val="auto"/>
                <w:w w:val="84"/>
              </w:rPr>
              <w:t>earnings</w:t>
            </w:r>
            <w:r>
              <w:rPr>
                <w:rFonts w:ascii="Arial" w:cs="Arial" w:eastAsia="Arial" w:hAnsi="Arial"/>
                <w:sz w:val="25"/>
                <w:szCs w:val="25"/>
                <w:color w:val="auto"/>
                <w:w w:val="84"/>
                <w:vertAlign w:val="superscript"/>
              </w:rPr>
              <w:t>(4)</w:t>
            </w:r>
          </w:p>
        </w:tc>
        <w:tc>
          <w:tcPr>
            <w:tcW w:w="1020" w:type="dxa"/>
            <w:vAlign w:val="bottom"/>
            <w:tcBorders>
              <w:bottom w:val="single" w:sz="8" w:color="auto"/>
              <w:right w:val="single" w:sz="8" w:color="auto"/>
            </w:tcBorders>
            <w:gridSpan w:val="2"/>
          </w:tcPr>
          <w:p>
            <w:pPr>
              <w:jc w:val="right"/>
              <w:ind w:right="90"/>
              <w:spacing w:after="0" w:line="230" w:lineRule="exact"/>
              <w:rPr>
                <w:sz w:val="20"/>
                <w:szCs w:val="20"/>
                <w:color w:val="auto"/>
              </w:rPr>
            </w:pPr>
            <w:r>
              <w:rPr>
                <w:rFonts w:ascii="Arial" w:cs="Arial" w:eastAsia="Arial" w:hAnsi="Arial"/>
                <w:sz w:val="18"/>
                <w:szCs w:val="18"/>
                <w:color w:val="auto"/>
                <w:w w:val="94"/>
              </w:rPr>
              <w:t>All other</w:t>
            </w:r>
            <w:r>
              <w:rPr>
                <w:rFonts w:ascii="Arial" w:cs="Arial" w:eastAsia="Arial" w:hAnsi="Arial"/>
                <w:sz w:val="25"/>
                <w:szCs w:val="25"/>
                <w:color w:val="auto"/>
                <w:w w:val="94"/>
                <w:vertAlign w:val="superscript"/>
              </w:rPr>
              <w:t>(5)</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418"/>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Jimmy C. Tallent</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$ 400,000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4"/>
              </w:rPr>
              <w:t>$ 199,877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185,649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78,581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864,107</w:t>
            </w: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and</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480,000</w:t>
            </w: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54,984</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130,128</w:t>
            </w:r>
          </w:p>
        </w:tc>
        <w:tc>
          <w:tcPr>
            <w:tcW w:w="1080" w:type="dxa"/>
            <w:vAlign w:val="bottom"/>
          </w:tcPr>
          <w:p>
            <w:pPr>
              <w:spacing w:after="0"/>
              <w:rPr>
                <w:sz w:val="18"/>
                <w:szCs w:val="18"/>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68,484</w:t>
            </w:r>
          </w:p>
        </w:tc>
        <w:tc>
          <w:tcPr>
            <w:tcW w:w="2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80,086</w:t>
            </w: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813,682</w:t>
            </w:r>
          </w:p>
        </w:tc>
      </w:tr>
      <w:tr>
        <w:trPr>
          <w:trHeight w:val="23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2007</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480,000</w:t>
            </w:r>
          </w:p>
        </w:tc>
        <w:tc>
          <w:tcPr>
            <w:tcW w:w="16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107,364</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288,895</w:t>
            </w:r>
          </w:p>
        </w:tc>
        <w:tc>
          <w:tcPr>
            <w:tcW w:w="1080" w:type="dxa"/>
            <w:vAlign w:val="bottom"/>
          </w:tcPr>
          <w:p>
            <w:pPr>
              <w:spacing w:after="0"/>
              <w:rPr>
                <w:sz w:val="20"/>
                <w:szCs w:val="20"/>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47,483</w:t>
            </w:r>
          </w:p>
        </w:tc>
        <w:tc>
          <w:tcPr>
            <w:tcW w:w="26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95,379</w:t>
            </w:r>
          </w:p>
        </w:tc>
        <w:tc>
          <w:tcPr>
            <w:tcW w:w="100" w:type="dxa"/>
            <w:vAlign w:val="bottom"/>
          </w:tcPr>
          <w:p>
            <w:pPr>
              <w:spacing w:after="0"/>
              <w:rPr>
                <w:sz w:val="20"/>
                <w:szCs w:val="20"/>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9"/>
              </w:rPr>
              <w:t>1,019,121</w:t>
            </w:r>
          </w:p>
        </w:tc>
      </w:tr>
      <w:tr>
        <w:trPr>
          <w:trHeight w:val="223"/>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418"/>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Guy W. Freeman</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295,000</w:t>
            </w:r>
          </w:p>
        </w:tc>
        <w:tc>
          <w:tcPr>
            <w:tcW w:w="160" w:type="dxa"/>
            <w:vAlign w:val="bottom"/>
          </w:tcPr>
          <w:p>
            <w:pPr>
              <w:spacing w:after="0"/>
              <w:rPr>
                <w:sz w:val="24"/>
                <w:szCs w:val="24"/>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157,050</w:t>
            </w:r>
          </w:p>
        </w:tc>
        <w:tc>
          <w:tcPr>
            <w:tcW w:w="140" w:type="dxa"/>
            <w:vAlign w:val="bottom"/>
          </w:tcPr>
          <w:p>
            <w:pPr>
              <w:spacing w:after="0"/>
              <w:rPr>
                <w:sz w:val="24"/>
                <w:szCs w:val="24"/>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4"/>
                <w:szCs w:val="24"/>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260" w:type="dxa"/>
            <w:vAlign w:val="bottom"/>
          </w:tcPr>
          <w:p>
            <w:pPr>
              <w:spacing w:after="0"/>
              <w:rPr>
                <w:sz w:val="24"/>
                <w:szCs w:val="24"/>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48,349</w:t>
            </w:r>
          </w:p>
        </w:tc>
        <w:tc>
          <w:tcPr>
            <w:tcW w:w="100" w:type="dxa"/>
            <w:vAlign w:val="bottom"/>
          </w:tcPr>
          <w:p>
            <w:pPr>
              <w:spacing w:after="0"/>
              <w:rPr>
                <w:sz w:val="24"/>
                <w:szCs w:val="24"/>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493,783</w:t>
            </w: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295,000</w:t>
            </w: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62,097</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69,091</w:t>
            </w:r>
          </w:p>
        </w:tc>
        <w:tc>
          <w:tcPr>
            <w:tcW w:w="1080" w:type="dxa"/>
            <w:vAlign w:val="bottom"/>
          </w:tcPr>
          <w:p>
            <w:pPr>
              <w:spacing w:after="0"/>
              <w:rPr>
                <w:sz w:val="18"/>
                <w:szCs w:val="18"/>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82,239</w:t>
            </w:r>
          </w:p>
        </w:tc>
        <w:tc>
          <w:tcPr>
            <w:tcW w:w="2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49,654</w:t>
            </w: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558,081</w:t>
            </w:r>
          </w:p>
        </w:tc>
      </w:tr>
      <w:tr>
        <w:trPr>
          <w:trHeight w:val="23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Chief Operating Officer</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2007</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295,000</w:t>
            </w:r>
          </w:p>
        </w:tc>
        <w:tc>
          <w:tcPr>
            <w:tcW w:w="16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122,685</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177,471</w:t>
            </w:r>
          </w:p>
        </w:tc>
        <w:tc>
          <w:tcPr>
            <w:tcW w:w="1080" w:type="dxa"/>
            <w:vAlign w:val="bottom"/>
          </w:tcPr>
          <w:p>
            <w:pPr>
              <w:spacing w:after="0"/>
              <w:rPr>
                <w:sz w:val="20"/>
                <w:szCs w:val="20"/>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84,187</w:t>
            </w:r>
          </w:p>
        </w:tc>
        <w:tc>
          <w:tcPr>
            <w:tcW w:w="26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50,722</w:t>
            </w:r>
          </w:p>
        </w:tc>
        <w:tc>
          <w:tcPr>
            <w:tcW w:w="100" w:type="dxa"/>
            <w:vAlign w:val="bottom"/>
          </w:tcPr>
          <w:p>
            <w:pPr>
              <w:spacing w:after="0"/>
              <w:rPr>
                <w:sz w:val="20"/>
                <w:szCs w:val="20"/>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730,065</w:t>
            </w:r>
          </w:p>
        </w:tc>
      </w:tr>
      <w:tr>
        <w:trPr>
          <w:trHeight w:val="223"/>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418"/>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Rex S. Schuette</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283,000</w:t>
            </w:r>
          </w:p>
        </w:tc>
        <w:tc>
          <w:tcPr>
            <w:tcW w:w="160" w:type="dxa"/>
            <w:vAlign w:val="bottom"/>
          </w:tcPr>
          <w:p>
            <w:pPr>
              <w:spacing w:after="0"/>
              <w:rPr>
                <w:sz w:val="24"/>
                <w:szCs w:val="24"/>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142,772</w:t>
            </w:r>
          </w:p>
        </w:tc>
        <w:tc>
          <w:tcPr>
            <w:tcW w:w="140" w:type="dxa"/>
            <w:vAlign w:val="bottom"/>
          </w:tcPr>
          <w:p>
            <w:pPr>
              <w:spacing w:after="0"/>
              <w:rPr>
                <w:sz w:val="24"/>
                <w:szCs w:val="24"/>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4"/>
                <w:szCs w:val="24"/>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185,671</w:t>
            </w:r>
          </w:p>
        </w:tc>
        <w:tc>
          <w:tcPr>
            <w:tcW w:w="260" w:type="dxa"/>
            <w:vAlign w:val="bottom"/>
          </w:tcPr>
          <w:p>
            <w:pPr>
              <w:spacing w:after="0"/>
              <w:rPr>
                <w:sz w:val="24"/>
                <w:szCs w:val="24"/>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27,471</w:t>
            </w:r>
          </w:p>
        </w:tc>
        <w:tc>
          <w:tcPr>
            <w:tcW w:w="100" w:type="dxa"/>
            <w:vAlign w:val="bottom"/>
          </w:tcPr>
          <w:p>
            <w:pPr>
              <w:spacing w:after="0"/>
              <w:rPr>
                <w:sz w:val="24"/>
                <w:szCs w:val="24"/>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638,914</w:t>
            </w: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283,000</w:t>
            </w: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48,299</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58,800</w:t>
            </w:r>
          </w:p>
        </w:tc>
        <w:tc>
          <w:tcPr>
            <w:tcW w:w="1080" w:type="dxa"/>
            <w:vAlign w:val="bottom"/>
          </w:tcPr>
          <w:p>
            <w:pPr>
              <w:spacing w:after="0"/>
              <w:rPr>
                <w:sz w:val="18"/>
                <w:szCs w:val="18"/>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54,432</w:t>
            </w:r>
          </w:p>
        </w:tc>
        <w:tc>
          <w:tcPr>
            <w:tcW w:w="2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27,604</w:t>
            </w: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472,135</w:t>
            </w:r>
          </w:p>
        </w:tc>
      </w:tr>
      <w:tr>
        <w:trPr>
          <w:trHeight w:val="23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Chief Financial Officer</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2007</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283,000</w:t>
            </w:r>
          </w:p>
        </w:tc>
        <w:tc>
          <w:tcPr>
            <w:tcW w:w="16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107,364</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152,709</w:t>
            </w:r>
          </w:p>
        </w:tc>
        <w:tc>
          <w:tcPr>
            <w:tcW w:w="1080" w:type="dxa"/>
            <w:vAlign w:val="bottom"/>
          </w:tcPr>
          <w:p>
            <w:pPr>
              <w:spacing w:after="0"/>
              <w:rPr>
                <w:sz w:val="20"/>
                <w:szCs w:val="20"/>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53,995</w:t>
            </w:r>
          </w:p>
        </w:tc>
        <w:tc>
          <w:tcPr>
            <w:tcW w:w="26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33,450</w:t>
            </w:r>
          </w:p>
        </w:tc>
        <w:tc>
          <w:tcPr>
            <w:tcW w:w="100" w:type="dxa"/>
            <w:vAlign w:val="bottom"/>
          </w:tcPr>
          <w:p>
            <w:pPr>
              <w:spacing w:after="0"/>
              <w:rPr>
                <w:sz w:val="20"/>
                <w:szCs w:val="20"/>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630,518</w:t>
            </w:r>
          </w:p>
        </w:tc>
      </w:tr>
      <w:tr>
        <w:trPr>
          <w:trHeight w:val="223"/>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418"/>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David P. Shearrow</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275,000</w:t>
            </w:r>
          </w:p>
        </w:tc>
        <w:tc>
          <w:tcPr>
            <w:tcW w:w="160" w:type="dxa"/>
            <w:vAlign w:val="bottom"/>
          </w:tcPr>
          <w:p>
            <w:pPr>
              <w:spacing w:after="0"/>
              <w:rPr>
                <w:sz w:val="24"/>
                <w:szCs w:val="24"/>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142,772</w:t>
            </w:r>
          </w:p>
        </w:tc>
        <w:tc>
          <w:tcPr>
            <w:tcW w:w="140" w:type="dxa"/>
            <w:vAlign w:val="bottom"/>
          </w:tcPr>
          <w:p>
            <w:pPr>
              <w:spacing w:after="0"/>
              <w:rPr>
                <w:sz w:val="24"/>
                <w:szCs w:val="24"/>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4"/>
                <w:szCs w:val="24"/>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29,117</w:t>
            </w:r>
          </w:p>
        </w:tc>
        <w:tc>
          <w:tcPr>
            <w:tcW w:w="260" w:type="dxa"/>
            <w:vAlign w:val="bottom"/>
          </w:tcPr>
          <w:p>
            <w:pPr>
              <w:spacing w:after="0"/>
              <w:rPr>
                <w:sz w:val="24"/>
                <w:szCs w:val="24"/>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19,225</w:t>
            </w:r>
          </w:p>
        </w:tc>
        <w:tc>
          <w:tcPr>
            <w:tcW w:w="100" w:type="dxa"/>
            <w:vAlign w:val="bottom"/>
          </w:tcPr>
          <w:p>
            <w:pPr>
              <w:spacing w:after="0"/>
              <w:rPr>
                <w:sz w:val="24"/>
                <w:szCs w:val="24"/>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466,114</w:t>
            </w: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275,000</w:t>
            </w: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48,299</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58,800</w:t>
            </w:r>
          </w:p>
        </w:tc>
        <w:tc>
          <w:tcPr>
            <w:tcW w:w="1080" w:type="dxa"/>
            <w:vAlign w:val="bottom"/>
          </w:tcPr>
          <w:p>
            <w:pPr>
              <w:spacing w:after="0"/>
              <w:rPr>
                <w:sz w:val="18"/>
                <w:szCs w:val="18"/>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12,218</w:t>
            </w:r>
          </w:p>
        </w:tc>
        <w:tc>
          <w:tcPr>
            <w:tcW w:w="2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14,863</w:t>
            </w: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409,180</w:t>
            </w:r>
          </w:p>
        </w:tc>
      </w:tr>
      <w:tr>
        <w:trPr>
          <w:trHeight w:val="23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Chief Risk Officer</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2007</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195,000</w:t>
            </w:r>
          </w:p>
        </w:tc>
        <w:tc>
          <w:tcPr>
            <w:tcW w:w="16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145,000</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499,460</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171,842</w:t>
            </w:r>
          </w:p>
        </w:tc>
        <w:tc>
          <w:tcPr>
            <w:tcW w:w="1080" w:type="dxa"/>
            <w:vAlign w:val="bottom"/>
          </w:tcPr>
          <w:p>
            <w:pPr>
              <w:spacing w:after="0"/>
              <w:rPr>
                <w:sz w:val="20"/>
                <w:szCs w:val="20"/>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7,488</w:t>
            </w:r>
          </w:p>
        </w:tc>
        <w:tc>
          <w:tcPr>
            <w:tcW w:w="26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84,893</w:t>
            </w:r>
          </w:p>
        </w:tc>
        <w:tc>
          <w:tcPr>
            <w:tcW w:w="100" w:type="dxa"/>
            <w:vAlign w:val="bottom"/>
          </w:tcPr>
          <w:p>
            <w:pPr>
              <w:spacing w:after="0"/>
              <w:rPr>
                <w:sz w:val="20"/>
                <w:szCs w:val="20"/>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9"/>
              </w:rPr>
              <w:t>1,103,683</w:t>
            </w:r>
          </w:p>
        </w:tc>
      </w:tr>
      <w:tr>
        <w:trPr>
          <w:trHeight w:val="223"/>
        </w:trPr>
        <w:tc>
          <w:tcPr>
            <w:tcW w:w="278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418"/>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Glenn S. White</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2009</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320,000</w:t>
            </w:r>
          </w:p>
        </w:tc>
        <w:tc>
          <w:tcPr>
            <w:tcW w:w="160" w:type="dxa"/>
            <w:vAlign w:val="bottom"/>
          </w:tcPr>
          <w:p>
            <w:pPr>
              <w:spacing w:after="0"/>
              <w:rPr>
                <w:sz w:val="24"/>
                <w:szCs w:val="24"/>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71,390</w:t>
            </w:r>
          </w:p>
        </w:tc>
        <w:tc>
          <w:tcPr>
            <w:tcW w:w="140" w:type="dxa"/>
            <w:vAlign w:val="bottom"/>
          </w:tcPr>
          <w:p>
            <w:pPr>
              <w:spacing w:after="0"/>
              <w:rPr>
                <w:sz w:val="24"/>
                <w:szCs w:val="24"/>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4"/>
                <w:szCs w:val="24"/>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29,624</w:t>
            </w:r>
          </w:p>
        </w:tc>
        <w:tc>
          <w:tcPr>
            <w:tcW w:w="100" w:type="dxa"/>
            <w:vAlign w:val="bottom"/>
          </w:tcPr>
          <w:p>
            <w:pPr>
              <w:spacing w:after="0"/>
              <w:rPr>
                <w:sz w:val="24"/>
                <w:szCs w:val="24"/>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421,014</w:t>
            </w:r>
          </w:p>
        </w:tc>
      </w:tr>
      <w:tr>
        <w:trPr>
          <w:trHeight w:val="2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w:t>
            </w:r>
          </w:p>
        </w:tc>
        <w:tc>
          <w:tcPr>
            <w:tcW w:w="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2008</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320,000</w:t>
            </w: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41,394</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44,098</w:t>
            </w:r>
          </w:p>
        </w:tc>
        <w:tc>
          <w:tcPr>
            <w:tcW w:w="1080" w:type="dxa"/>
            <w:vAlign w:val="bottom"/>
          </w:tcPr>
          <w:p>
            <w:pPr>
              <w:spacing w:after="0"/>
              <w:rPr>
                <w:sz w:val="18"/>
                <w:szCs w:val="18"/>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34,454</w:t>
            </w: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439,946</w:t>
            </w:r>
          </w:p>
        </w:tc>
      </w:tr>
      <w:tr>
        <w:trPr>
          <w:trHeight w:val="329"/>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Atlanta Region</w:t>
            </w:r>
            <w:r>
              <w:rPr>
                <w:rFonts w:ascii="Arial" w:cs="Arial" w:eastAsia="Arial" w:hAnsi="Arial"/>
                <w:sz w:val="25"/>
                <w:szCs w:val="25"/>
                <w:color w:val="auto"/>
                <w:vertAlign w:val="superscript"/>
              </w:rPr>
              <w:t>(6)</w:t>
            </w:r>
          </w:p>
        </w:tc>
        <w:tc>
          <w:tcPr>
            <w:tcW w:w="6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125"/>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r>
      <w:tr>
        <w:trPr>
          <w:trHeight w:val="212"/>
        </w:trPr>
        <w:tc>
          <w:tcPr>
            <w:tcW w:w="2780" w:type="dxa"/>
            <w:vAlign w:val="bottom"/>
          </w:tcPr>
          <w:p>
            <w:pPr>
              <w:ind w:left="580"/>
              <w:spacing w:after="0"/>
              <w:rPr>
                <w:sz w:val="20"/>
                <w:szCs w:val="20"/>
                <w:color w:val="auto"/>
              </w:rPr>
            </w:pPr>
            <w:r>
              <w:rPr>
                <w:rFonts w:ascii="Arial" w:cs="Arial" w:eastAsia="Arial" w:hAnsi="Arial"/>
                <w:sz w:val="18"/>
                <w:szCs w:val="18"/>
                <w:color w:val="auto"/>
                <w:w w:val="89"/>
              </w:rPr>
              <w:t>________________________</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1160" w:hanging="571"/>
        <w:spacing w:after="0" w:line="239" w:lineRule="auto"/>
        <w:tabs>
          <w:tab w:leader="none" w:pos="11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Amounts shown for salary and bonus were either paid in cash or deferred, as elected by the executive under the Deferred Compensation Plan. See the “Nonqualified Deferred Compensation – Activity For 2009” table for the executive’s contributions and earnings.</w:t>
      </w:r>
    </w:p>
    <w:p>
      <w:pPr>
        <w:spacing w:after="0" w:line="1" w:lineRule="exact"/>
        <w:rPr>
          <w:rFonts w:ascii="Arial" w:cs="Arial" w:eastAsia="Arial" w:hAnsi="Arial"/>
          <w:sz w:val="22"/>
          <w:szCs w:val="22"/>
          <w:color w:val="auto"/>
          <w:vertAlign w:val="superscript"/>
        </w:rPr>
      </w:pPr>
    </w:p>
    <w:p>
      <w:pPr>
        <w:jc w:val="both"/>
        <w:ind w:left="1160" w:hanging="571"/>
        <w:spacing w:after="0" w:line="228" w:lineRule="auto"/>
        <w:tabs>
          <w:tab w:leader="none" w:pos="11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amounts shown reflect the aggregate grant date fair value of the awards. The assumptions made when calculating the grant date fair value of options are found in Note 20 to the Consolidated Financial Statements of United contained in its Annual Report on Form 10-K for the year ended December 31, 2009. Mr. Shearrow’s 2007 restricted stock award was granted as an inducement to his employment by United to replace certain unvested stock awards forfeited at his previous employer.</w:t>
      </w:r>
    </w:p>
    <w:p>
      <w:pPr>
        <w:spacing w:after="0" w:line="1" w:lineRule="exact"/>
        <w:rPr>
          <w:rFonts w:ascii="Arial" w:cs="Arial" w:eastAsia="Arial" w:hAnsi="Arial"/>
          <w:sz w:val="25"/>
          <w:szCs w:val="25"/>
          <w:color w:val="auto"/>
          <w:vertAlign w:val="superscript"/>
        </w:rPr>
      </w:pPr>
    </w:p>
    <w:p>
      <w:pPr>
        <w:jc w:val="both"/>
        <w:ind w:left="1160" w:right="20" w:hanging="571"/>
        <w:spacing w:after="0" w:line="221" w:lineRule="auto"/>
        <w:tabs>
          <w:tab w:leader="none" w:pos="11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Non-equity incentive plan compensation includes amounts earned under the Management Annual Incentive Plan as a result of achieving the goals specified for the designated year. Because the financial performance measures were not met for 2009, 2008 and 2007, no non-equity incentive compensation awards were granted by the Compensation Committee.</w:t>
      </w:r>
    </w:p>
    <w:p>
      <w:pPr>
        <w:spacing w:after="0" w:line="2" w:lineRule="exact"/>
        <w:rPr>
          <w:rFonts w:ascii="Arial" w:cs="Arial" w:eastAsia="Arial" w:hAnsi="Arial"/>
          <w:sz w:val="25"/>
          <w:szCs w:val="25"/>
          <w:color w:val="auto"/>
          <w:vertAlign w:val="superscript"/>
        </w:rPr>
      </w:pPr>
    </w:p>
    <w:p>
      <w:pPr>
        <w:jc w:val="both"/>
        <w:ind w:left="1160" w:hanging="571"/>
        <w:spacing w:after="0" w:line="232" w:lineRule="auto"/>
        <w:tabs>
          <w:tab w:leader="none" w:pos="11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the annual change in the present value of the executive’s accumulated benefits under the Modified Retirement Plan. The change in value for 2009 reflects the actuarial charge for the increase in benefits provided to Mssrs. Tallent, Schuette and Shearrow. See the “Pension Benefits” and “Nonqualified Deferred Compensation – Activity For 2009” tables for additional information. The Deferred Compensation Plan does not credit above-market or preferential earnings, so no amounts are included in this column with respect to the Deferred Compensation Plan.</w:t>
      </w:r>
    </w:p>
    <w:p>
      <w:pPr>
        <w:spacing w:after="0" w:line="2" w:lineRule="exact"/>
        <w:rPr>
          <w:rFonts w:ascii="Arial" w:cs="Arial" w:eastAsia="Arial" w:hAnsi="Arial"/>
          <w:sz w:val="25"/>
          <w:szCs w:val="25"/>
          <w:color w:val="auto"/>
          <w:vertAlign w:val="superscript"/>
        </w:rPr>
      </w:pPr>
    </w:p>
    <w:p>
      <w:pPr>
        <w:jc w:val="both"/>
        <w:ind w:left="1160" w:hanging="571"/>
        <w:spacing w:after="0" w:line="253" w:lineRule="auto"/>
        <w:tabs>
          <w:tab w:leader="none" w:pos="11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Amounts shown include: (i) matching 401(k) and profit sharing contributions to the 401(a) Plan on behalf of the executive; (ii) matching 401(k) contributions on behalf of the executive to the Deferred Compensation Plan (see the “Nonqualified Deferred Compensation – Activity For 2009”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 (vii) directors fees paid to the executive for serving on subsidiary and community bank boards. Certain executives received directors fees in 2009, 2008 and 2007, respectively, of $37,400, $33,800 and $43,850 for Mr. Tallent; $7,400, $7,400 and $7,500 for Mr. Freeman; and, $3,000 and $6,000 in 2009 and 2008, respectively, for Mr. White. Mr. Shearrow also received a cash payment of $60,000 in 2007 to replace certain unvested restricted stock awards that were forfeited at his previous employer as an inducement to his employment by United.</w:t>
      </w:r>
    </w:p>
    <w:p>
      <w:pPr>
        <w:spacing w:after="0" w:line="5" w:lineRule="exact"/>
        <w:rPr>
          <w:rFonts w:ascii="Arial" w:cs="Arial" w:eastAsia="Arial" w:hAnsi="Arial"/>
          <w:sz w:val="24"/>
          <w:szCs w:val="24"/>
          <w:color w:val="auto"/>
          <w:vertAlign w:val="superscript"/>
        </w:rPr>
      </w:pPr>
    </w:p>
    <w:p>
      <w:pPr>
        <w:ind w:left="1160" w:hanging="571"/>
        <w:spacing w:after="0" w:line="180" w:lineRule="auto"/>
        <w:tabs>
          <w:tab w:leader="none" w:pos="11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Mr. Shearrow joined United in April 2007 and Mr. White became an executive officer of United in 2008.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Stock Option and Restricted Stock Grants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with respect to restricted stock and stock option awards granted to the Named Executive Officers for 2009 (as adjusted for 2009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167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Stock option awards</w:t>
            </w:r>
          </w:p>
        </w:tc>
        <w:tc>
          <w:tcPr>
            <w:tcW w:w="1680" w:type="dxa"/>
            <w:vAlign w:val="bottom"/>
            <w:tcBorders>
              <w:bottom w:val="single" w:sz="8" w:color="auto"/>
              <w:right w:val="single" w:sz="8" w:color="auto"/>
            </w:tcBorders>
          </w:tcPr>
          <w:p>
            <w:pPr>
              <w:spacing w:after="0"/>
              <w:rPr>
                <w:sz w:val="19"/>
                <w:szCs w:val="19"/>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right"/>
              <w:ind w:right="390"/>
              <w:spacing w:after="0" w:line="201" w:lineRule="exact"/>
              <w:rPr>
                <w:sz w:val="20"/>
                <w:szCs w:val="20"/>
                <w:color w:val="auto"/>
              </w:rPr>
            </w:pPr>
            <w:r>
              <w:rPr>
                <w:rFonts w:ascii="Arial" w:cs="Arial" w:eastAsia="Arial" w:hAnsi="Arial"/>
                <w:sz w:val="18"/>
                <w:szCs w:val="18"/>
                <w:color w:val="auto"/>
              </w:rPr>
              <w:t>Number of</w:t>
            </w:r>
          </w:p>
        </w:tc>
        <w:tc>
          <w:tcPr>
            <w:tcW w:w="17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Closing price</w:t>
            </w: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Grant date</w:t>
            </w:r>
          </w:p>
        </w:tc>
        <w:tc>
          <w:tcPr>
            <w:tcW w:w="174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8"/>
                <w:szCs w:val="18"/>
                <w:color w:val="auto"/>
                <w:w w:val="88"/>
              </w:rPr>
              <w:t xml:space="preserve">restricted stock units </w:t>
            </w:r>
            <w:r>
              <w:rPr>
                <w:rFonts w:ascii="Arial" w:cs="Arial" w:eastAsia="Arial" w:hAnsi="Arial"/>
                <w:sz w:val="25"/>
                <w:szCs w:val="25"/>
                <w:color w:val="auto"/>
                <w:w w:val="88"/>
                <w:vertAlign w:val="superscript"/>
              </w:rPr>
              <w:t>(1)</w:t>
            </w:r>
          </w:p>
        </w:tc>
        <w:tc>
          <w:tcPr>
            <w:tcW w:w="17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Number</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Exercise price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on grant date</w:t>
            </w: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Tallent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5, 2009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28,432</w:t>
            </w:r>
          </w:p>
        </w:tc>
        <w:tc>
          <w:tcPr>
            <w:tcW w:w="17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None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Freeman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5, 2009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22,340</w:t>
            </w:r>
          </w:p>
        </w:tc>
        <w:tc>
          <w:tcPr>
            <w:tcW w:w="17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None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Schuette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5, 2009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20,309</w:t>
            </w:r>
          </w:p>
        </w:tc>
        <w:tc>
          <w:tcPr>
            <w:tcW w:w="17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None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5, 2009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20,309</w:t>
            </w:r>
          </w:p>
        </w:tc>
        <w:tc>
          <w:tcPr>
            <w:tcW w:w="17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None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White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May 5, 2009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70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None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2"/>
        </w:trPr>
        <w:tc>
          <w:tcPr>
            <w:tcW w:w="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___________________</w:t>
            </w: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ind w:left="580" w:hanging="572"/>
        <w:spacing w:after="0" w:line="211" w:lineRule="auto"/>
        <w:tabs>
          <w:tab w:leader="none" w:pos="5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restricted stock units vest in equal installments over a four-year period beginning on January 31, 2010. The grant date fair value was $7.03 per share.</w:t>
      </w:r>
    </w:p>
    <w:p>
      <w:pPr>
        <w:spacing w:after="0" w:line="23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When granting equity awards, the Compensation Committee sets option exercise prices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Typically, vesting is in equal increments over a four-year period from the date of the grant.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2009, United did not grant stock options, stock appreciation rights or similar awards to any of its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of restricted stock awards or settlement of restricted stock units for the Named Executive Officers during 2009 (as adjusted for subsequent 2009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167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VESTING OF RESTRICTED STOCK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color w:val="auto"/>
              </w:rPr>
              <w:t>Stock option awards</w:t>
            </w:r>
          </w:p>
        </w:tc>
        <w:tc>
          <w:tcPr>
            <w:tcW w:w="30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Restricted stock/unit awards</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8"/>
                <w:szCs w:val="18"/>
                <w:color w:val="auto"/>
              </w:rPr>
              <w:t>Name</w:t>
            </w:r>
          </w:p>
        </w:tc>
        <w:tc>
          <w:tcPr>
            <w:tcW w:w="1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Number exercised</w:t>
            </w:r>
          </w:p>
        </w:tc>
        <w:tc>
          <w:tcPr>
            <w:tcW w:w="2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ind w:left="460"/>
              <w:spacing w:after="0" w:line="216" w:lineRule="exact"/>
              <w:rPr>
                <w:sz w:val="20"/>
                <w:szCs w:val="20"/>
                <w:color w:val="auto"/>
              </w:rPr>
            </w:pPr>
            <w:r>
              <w:rPr>
                <w:rFonts w:ascii="Arial" w:cs="Arial" w:eastAsia="Arial" w:hAnsi="Arial"/>
                <w:sz w:val="18"/>
                <w:szCs w:val="18"/>
                <w:color w:val="auto"/>
                <w:w w:val="96"/>
              </w:rPr>
              <w:t>Value realized</w:t>
            </w:r>
            <w:r>
              <w:rPr>
                <w:rFonts w:ascii="Arial" w:cs="Arial" w:eastAsia="Arial" w:hAnsi="Arial"/>
                <w:sz w:val="25"/>
                <w:szCs w:val="25"/>
                <w:color w:val="auto"/>
                <w:w w:val="96"/>
                <w:vertAlign w:val="superscript"/>
              </w:rPr>
              <w:t>(1)</w:t>
            </w:r>
          </w:p>
        </w:tc>
        <w:tc>
          <w:tcPr>
            <w:tcW w:w="3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Number vesting</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330"/>
              <w:spacing w:after="0" w:line="216" w:lineRule="exact"/>
              <w:rPr>
                <w:sz w:val="20"/>
                <w:szCs w:val="20"/>
                <w:color w:val="auto"/>
              </w:rPr>
            </w:pPr>
            <w:r>
              <w:rPr>
                <w:rFonts w:ascii="Arial" w:cs="Arial" w:eastAsia="Arial" w:hAnsi="Arial"/>
                <w:sz w:val="18"/>
                <w:szCs w:val="18"/>
                <w:color w:val="auto"/>
                <w:w w:val="95"/>
              </w:rPr>
              <w:t>Value realized</w:t>
            </w:r>
            <w:r>
              <w:rPr>
                <w:rFonts w:ascii="Arial" w:cs="Arial" w:eastAsia="Arial" w:hAnsi="Arial"/>
                <w:sz w:val="25"/>
                <w:szCs w:val="25"/>
                <w:color w:val="auto"/>
                <w:w w:val="95"/>
                <w:vertAlign w:val="superscript"/>
              </w:rPr>
              <w:t>(2)</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Tallent</w:t>
            </w:r>
          </w:p>
        </w:tc>
        <w:tc>
          <w:tcPr>
            <w:tcW w:w="1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3,896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22,354</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Freeman</w:t>
            </w:r>
          </w:p>
        </w:tc>
        <w:tc>
          <w:tcPr>
            <w:tcW w:w="1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3,766</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22,168</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Schuette</w:t>
            </w:r>
          </w:p>
        </w:tc>
        <w:tc>
          <w:tcPr>
            <w:tcW w:w="1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3,312</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19,091</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1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7,352</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38,604</w:t>
            </w:r>
          </w:p>
        </w:tc>
      </w:tr>
      <w:tr>
        <w:trPr>
          <w:trHeight w:val="223"/>
        </w:trPr>
        <w:tc>
          <w:tcPr>
            <w:tcW w:w="4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 White</w:t>
            </w:r>
          </w:p>
        </w:tc>
        <w:tc>
          <w:tcPr>
            <w:tcW w:w="1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780</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6,419</w:t>
            </w:r>
          </w:p>
        </w:tc>
      </w:tr>
      <w:tr>
        <w:trPr>
          <w:trHeight w:val="212"/>
        </w:trPr>
        <w:tc>
          <w:tcPr>
            <w:tcW w:w="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___________________</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ind w:left="580" w:hanging="572"/>
        <w:spacing w:after="0" w:line="211"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per share option exercise price, multiplied by the number of options exercised.</w:t>
      </w:r>
    </w:p>
    <w:p>
      <w:pPr>
        <w:spacing w:after="0" w:line="1" w:lineRule="exact"/>
        <w:rPr>
          <w:rFonts w:ascii="Arial" w:cs="Arial" w:eastAsia="Arial" w:hAnsi="Arial"/>
          <w:sz w:val="25"/>
          <w:szCs w:val="25"/>
          <w:color w:val="auto"/>
          <w:vertAlign w:val="superscript"/>
        </w:rPr>
      </w:pPr>
    </w:p>
    <w:p>
      <w:pPr>
        <w:ind w:left="580" w:hanging="572"/>
        <w:spacing w:after="0" w:line="209"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stock/unit awards vesting by the closing price of United’s common stock on the date of vesting.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Outstanding Equity Awards as of December 31, 2009</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awards as of December 31, 2009 (as adjusted for subsequent 2009 stock dividends):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2980" w:type="dxa"/>
            <w:vAlign w:val="bottom"/>
            <w:tcBorders>
              <w:top w:val="single" w:sz="8" w:color="auto"/>
              <w:bottom w:val="single" w:sz="8" w:color="auto"/>
            </w:tcBorders>
          </w:tcPr>
          <w:p>
            <w:pPr>
              <w:spacing w:after="0"/>
              <w:rPr>
                <w:sz w:val="21"/>
                <w:szCs w:val="21"/>
                <w:color w:val="auto"/>
              </w:rPr>
            </w:pPr>
          </w:p>
        </w:tc>
        <w:tc>
          <w:tcPr>
            <w:tcW w:w="5600" w:type="dxa"/>
            <w:vAlign w:val="bottom"/>
            <w:tcBorders>
              <w:top w:val="single" w:sz="8" w:color="auto"/>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OUTSTANDING EQUITY AWARDS AT FISCAL YEAR-END</w:t>
            </w:r>
          </w:p>
        </w:tc>
        <w:tc>
          <w:tcPr>
            <w:tcW w:w="1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Restricted stock awards</w:t>
            </w:r>
          </w:p>
        </w:tc>
      </w:tr>
      <w:tr>
        <w:trPr>
          <w:trHeight w:val="202"/>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Number</w:t>
            </w:r>
          </w:p>
        </w:tc>
        <w:tc>
          <w:tcPr>
            <w:tcW w:w="1480" w:type="dxa"/>
            <w:vAlign w:val="bottom"/>
            <w:tcBorders>
              <w:right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Number</w:t>
            </w:r>
          </w:p>
        </w:tc>
        <w:tc>
          <w:tcPr>
            <w:tcW w:w="420" w:type="dxa"/>
            <w:vAlign w:val="bottom"/>
          </w:tcPr>
          <w:p>
            <w:pPr>
              <w:spacing w:after="0"/>
              <w:rPr>
                <w:sz w:val="17"/>
                <w:szCs w:val="17"/>
                <w:color w:val="auto"/>
              </w:rPr>
            </w:pPr>
          </w:p>
        </w:tc>
        <w:tc>
          <w:tcPr>
            <w:tcW w:w="104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w w:val="95"/>
              </w:rPr>
              <w:t>Exercise</w:t>
            </w:r>
          </w:p>
        </w:tc>
        <w:tc>
          <w:tcPr>
            <w:tcW w:w="1260" w:type="dxa"/>
            <w:vAlign w:val="bottom"/>
            <w:tcBorders>
              <w:right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4"/>
              </w:rPr>
              <w:t>Expiration</w:t>
            </w:r>
          </w:p>
        </w:tc>
        <w:tc>
          <w:tcPr>
            <w:tcW w:w="1340" w:type="dxa"/>
            <w:vAlign w:val="bottom"/>
            <w:tcBorders>
              <w:right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Number</w:t>
            </w:r>
          </w:p>
        </w:tc>
        <w:tc>
          <w:tcPr>
            <w:tcW w:w="220" w:type="dxa"/>
            <w:vAlign w:val="bottom"/>
          </w:tcPr>
          <w:p>
            <w:pPr>
              <w:spacing w:after="0"/>
              <w:rPr>
                <w:sz w:val="17"/>
                <w:szCs w:val="17"/>
                <w:color w:val="auto"/>
              </w:rPr>
            </w:pPr>
          </w:p>
        </w:tc>
        <w:tc>
          <w:tcPr>
            <w:tcW w:w="1240" w:type="dxa"/>
            <w:vAlign w:val="bottom"/>
            <w:tcBorders>
              <w:right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3"/>
              </w:rPr>
              <w:t>Market value</w:t>
            </w: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exercisable</w:t>
            </w:r>
          </w:p>
        </w:tc>
        <w:tc>
          <w:tcPr>
            <w:tcW w:w="1480" w:type="dxa"/>
            <w:vAlign w:val="bottom"/>
            <w:tcBorders>
              <w:bottom w:val="single" w:sz="8" w:color="auto"/>
              <w:right w:val="single" w:sz="8" w:color="auto"/>
            </w:tcBorders>
          </w:tcPr>
          <w:p>
            <w:pPr>
              <w:jc w:val="right"/>
              <w:ind w:right="30"/>
              <w:spacing w:after="0" w:line="230" w:lineRule="exact"/>
              <w:rPr>
                <w:sz w:val="20"/>
                <w:szCs w:val="20"/>
                <w:color w:val="auto"/>
              </w:rPr>
            </w:pPr>
            <w:r>
              <w:rPr>
                <w:rFonts w:ascii="Arial" w:cs="Arial" w:eastAsia="Arial" w:hAnsi="Arial"/>
                <w:sz w:val="18"/>
                <w:szCs w:val="18"/>
                <w:color w:val="auto"/>
              </w:rPr>
              <w:t>unexercisable</w:t>
            </w:r>
            <w:r>
              <w:rPr>
                <w:rFonts w:ascii="Arial" w:cs="Arial" w:eastAsia="Arial" w:hAnsi="Arial"/>
                <w:sz w:val="25"/>
                <w:szCs w:val="25"/>
                <w:color w:val="auto"/>
                <w:vertAlign w:val="superscript"/>
              </w:rPr>
              <w:t>(1)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price</w:t>
            </w:r>
          </w:p>
        </w:tc>
        <w:tc>
          <w:tcPr>
            <w:tcW w:w="1260" w:type="dxa"/>
            <w:vAlign w:val="bottom"/>
            <w:tcBorders>
              <w:bottom w:val="single" w:sz="8" w:color="auto"/>
              <w:right w:val="single" w:sz="8" w:color="auto"/>
            </w:tcBorders>
          </w:tcPr>
          <w:p>
            <w:pPr>
              <w:jc w:val="center"/>
              <w:ind w:right="30"/>
              <w:spacing w:after="0" w:line="230" w:lineRule="exact"/>
              <w:rPr>
                <w:sz w:val="20"/>
                <w:szCs w:val="20"/>
                <w:color w:val="auto"/>
              </w:rPr>
            </w:pPr>
            <w:r>
              <w:rPr>
                <w:rFonts w:ascii="Arial" w:cs="Arial" w:eastAsia="Arial" w:hAnsi="Arial"/>
                <w:sz w:val="18"/>
                <w:szCs w:val="18"/>
                <w:color w:val="auto"/>
                <w:w w:val="82"/>
              </w:rPr>
              <w:t xml:space="preserve">date </w:t>
            </w:r>
            <w:r>
              <w:rPr>
                <w:rFonts w:ascii="Arial" w:cs="Arial" w:eastAsia="Arial" w:hAnsi="Arial"/>
                <w:sz w:val="25"/>
                <w:szCs w:val="25"/>
                <w:color w:val="auto"/>
                <w:w w:val="82"/>
                <w:vertAlign w:val="superscript"/>
              </w:rPr>
              <w:t>(2)</w:t>
            </w:r>
          </w:p>
        </w:tc>
        <w:tc>
          <w:tcPr>
            <w:tcW w:w="1340" w:type="dxa"/>
            <w:vAlign w:val="bottom"/>
            <w:tcBorders>
              <w:bottom w:val="single" w:sz="8" w:color="auto"/>
              <w:right w:val="single" w:sz="8" w:color="auto"/>
            </w:tcBorders>
          </w:tcPr>
          <w:p>
            <w:pPr>
              <w:jc w:val="right"/>
              <w:ind w:right="190"/>
              <w:spacing w:after="0" w:line="230" w:lineRule="exact"/>
              <w:rPr>
                <w:sz w:val="20"/>
                <w:szCs w:val="20"/>
                <w:color w:val="auto"/>
              </w:rPr>
            </w:pPr>
            <w:r>
              <w:rPr>
                <w:rFonts w:ascii="Arial" w:cs="Arial" w:eastAsia="Arial" w:hAnsi="Arial"/>
                <w:sz w:val="18"/>
                <w:szCs w:val="18"/>
                <w:color w:val="auto"/>
                <w:w w:val="95"/>
              </w:rPr>
              <w:t xml:space="preserve">not vested </w:t>
            </w:r>
            <w:r>
              <w:rPr>
                <w:rFonts w:ascii="Arial" w:cs="Arial" w:eastAsia="Arial" w:hAnsi="Arial"/>
                <w:sz w:val="25"/>
                <w:szCs w:val="25"/>
                <w:color w:val="auto"/>
                <w:w w:val="95"/>
                <w:vertAlign w:val="superscript"/>
              </w:rPr>
              <w:t>(3)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70"/>
              <w:spacing w:after="0" w:line="230" w:lineRule="exact"/>
              <w:rPr>
                <w:sz w:val="20"/>
                <w:szCs w:val="20"/>
                <w:color w:val="auto"/>
              </w:rPr>
            </w:pPr>
            <w:r>
              <w:rPr>
                <w:rFonts w:ascii="Arial" w:cs="Arial" w:eastAsia="Arial" w:hAnsi="Arial"/>
                <w:sz w:val="18"/>
                <w:szCs w:val="18"/>
                <w:color w:val="auto"/>
                <w:w w:val="88"/>
              </w:rPr>
              <w:t xml:space="preserve">not vested </w:t>
            </w:r>
            <w:r>
              <w:rPr>
                <w:rFonts w:ascii="Arial" w:cs="Arial" w:eastAsia="Arial" w:hAnsi="Arial"/>
                <w:sz w:val="25"/>
                <w:szCs w:val="25"/>
                <w:color w:val="auto"/>
                <w:w w:val="88"/>
                <w:vertAlign w:val="superscript"/>
              </w:rPr>
              <w:t>(4)</w:t>
            </w:r>
          </w:p>
        </w:tc>
      </w:tr>
      <w:tr>
        <w:trPr>
          <w:trHeight w:val="202"/>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Mr. Tallent</w:t>
            </w:r>
          </w:p>
        </w:tc>
        <w:tc>
          <w:tcPr>
            <w:tcW w:w="14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37,406</w:t>
            </w:r>
          </w:p>
        </w:tc>
        <w:tc>
          <w:tcPr>
            <w:tcW w:w="14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12.19</w:t>
            </w:r>
          </w:p>
        </w:tc>
        <w:tc>
          <w:tcPr>
            <w:tcW w:w="1260" w:type="dxa"/>
            <w:vAlign w:val="bottom"/>
            <w:tcBorders>
              <w:right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3"/>
              </w:rPr>
              <w:t>4/20/10</w:t>
            </w:r>
          </w:p>
        </w:tc>
        <w:tc>
          <w:tcPr>
            <w:tcW w:w="1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46,758</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11.22</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4/18/11</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62,344</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3/11/12</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46,758</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15.78</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17,663</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21,198</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22.24</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24,157</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8,053</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27.76</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18,183</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18,183</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29.52</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11,689</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35,069</w:t>
            </w:r>
          </w:p>
        </w:tc>
        <w:tc>
          <w:tcPr>
            <w:tcW w:w="420" w:type="dxa"/>
            <w:vAlign w:val="bottom"/>
          </w:tcPr>
          <w:p>
            <w:pPr>
              <w:spacing w:after="0"/>
              <w:rPr>
                <w:sz w:val="20"/>
                <w:szCs w:val="20"/>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4/30/18</w:t>
            </w:r>
          </w:p>
        </w:tc>
        <w:tc>
          <w:tcPr>
            <w:tcW w:w="1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286,156</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61,305</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34,145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115,752</w:t>
            </w:r>
          </w:p>
        </w:tc>
      </w:tr>
      <w:tr>
        <w:trPr>
          <w:trHeight w:val="202"/>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Mr. Freeman</w:t>
            </w:r>
          </w:p>
        </w:tc>
        <w:tc>
          <w:tcPr>
            <w:tcW w:w="14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6,235</w:t>
            </w:r>
          </w:p>
        </w:tc>
        <w:tc>
          <w:tcPr>
            <w:tcW w:w="14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12.19</w:t>
            </w:r>
          </w:p>
        </w:tc>
        <w:tc>
          <w:tcPr>
            <w:tcW w:w="1260" w:type="dxa"/>
            <w:vAlign w:val="bottom"/>
            <w:tcBorders>
              <w:right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3"/>
              </w:rPr>
              <w:t>4/20/10</w:t>
            </w:r>
          </w:p>
        </w:tc>
        <w:tc>
          <w:tcPr>
            <w:tcW w:w="1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8,017</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11.22</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4/18/11</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24,938</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3/11/12</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31,172</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15.78</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10,391</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13,507</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22.24</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15,585</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5,196</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27,76</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11,170</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11,170</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29.52</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6,104</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18,314</w:t>
            </w:r>
          </w:p>
        </w:tc>
        <w:tc>
          <w:tcPr>
            <w:tcW w:w="420" w:type="dxa"/>
            <w:vAlign w:val="bottom"/>
          </w:tcPr>
          <w:p>
            <w:pPr>
              <w:spacing w:after="0"/>
              <w:rPr>
                <w:sz w:val="20"/>
                <w:szCs w:val="20"/>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5/5/18</w:t>
            </w:r>
          </w:p>
        </w:tc>
        <w:tc>
          <w:tcPr>
            <w:tcW w:w="1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127,119</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34,680</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28,702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97,300</w:t>
            </w:r>
          </w:p>
        </w:tc>
      </w:tr>
      <w:tr>
        <w:trPr>
          <w:trHeight w:val="202"/>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Mr. Schuette</w:t>
            </w:r>
          </w:p>
        </w:tc>
        <w:tc>
          <w:tcPr>
            <w:tcW w:w="14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35,847</w:t>
            </w:r>
          </w:p>
        </w:tc>
        <w:tc>
          <w:tcPr>
            <w:tcW w:w="14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11.22</w:t>
            </w:r>
          </w:p>
        </w:tc>
        <w:tc>
          <w:tcPr>
            <w:tcW w:w="126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9"/>
              </w:rPr>
              <w:t>3/12/11</w:t>
            </w:r>
          </w:p>
        </w:tc>
        <w:tc>
          <w:tcPr>
            <w:tcW w:w="1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18,703</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11.22</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4/18/11</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24,937</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3/11/12</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28,056</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15.78</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4/17/13</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9,352</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6/7/14</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12,469</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22.24</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5/16/15</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13,638</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4,547</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27.76</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4/26/16</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9,611</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9,612</w:t>
            </w:r>
          </w:p>
        </w:tc>
        <w:tc>
          <w:tcPr>
            <w:tcW w:w="42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29.52</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4/25/17</w:t>
            </w: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5,195</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15,586</w:t>
            </w:r>
          </w:p>
        </w:tc>
        <w:tc>
          <w:tcPr>
            <w:tcW w:w="420" w:type="dxa"/>
            <w:vAlign w:val="bottom"/>
          </w:tcPr>
          <w:p>
            <w:pPr>
              <w:spacing w:after="0"/>
              <w:rPr>
                <w:sz w:val="20"/>
                <w:szCs w:val="20"/>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5/5/18</w:t>
            </w:r>
          </w:p>
        </w:tc>
        <w:tc>
          <w:tcPr>
            <w:tcW w:w="1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157,808</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29,745</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25,633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86,896</w:t>
            </w:r>
          </w:p>
        </w:tc>
      </w:tr>
      <w:tr>
        <w:trPr>
          <w:trHeight w:val="229"/>
        </w:trPr>
        <w:tc>
          <w:tcPr>
            <w:tcW w:w="4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Shearrow</w:t>
            </w:r>
          </w:p>
        </w:tc>
        <w:tc>
          <w:tcPr>
            <w:tcW w:w="14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10,390</w:t>
            </w:r>
          </w:p>
        </w:tc>
        <w:tc>
          <w:tcPr>
            <w:tcW w:w="1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10,391</w:t>
            </w:r>
          </w:p>
        </w:tc>
        <w:tc>
          <w:tcPr>
            <w:tcW w:w="420" w:type="dxa"/>
            <w:vAlign w:val="bottom"/>
          </w:tcPr>
          <w:p>
            <w:pPr>
              <w:spacing w:after="0"/>
              <w:rPr>
                <w:sz w:val="19"/>
                <w:szCs w:val="19"/>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30.23</w:t>
            </w: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4/16/17</w:t>
            </w:r>
          </w:p>
        </w:tc>
        <w:tc>
          <w:tcPr>
            <w:tcW w:w="1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5,195</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15,586</w:t>
            </w:r>
          </w:p>
        </w:tc>
        <w:tc>
          <w:tcPr>
            <w:tcW w:w="420" w:type="dxa"/>
            <w:vAlign w:val="bottom"/>
          </w:tcPr>
          <w:p>
            <w:pPr>
              <w:spacing w:after="0"/>
              <w:rPr>
                <w:sz w:val="20"/>
                <w:szCs w:val="20"/>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5/5/18</w:t>
            </w:r>
          </w:p>
        </w:tc>
        <w:tc>
          <w:tcPr>
            <w:tcW w:w="1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15,585</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25,977</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29,791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100,991</w:t>
            </w:r>
          </w:p>
        </w:tc>
      </w:tr>
      <w:tr>
        <w:trPr>
          <w:trHeight w:val="202"/>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Mr. White</w:t>
            </w:r>
          </w:p>
        </w:tc>
        <w:tc>
          <w:tcPr>
            <w:tcW w:w="14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25,976</w:t>
            </w:r>
          </w:p>
        </w:tc>
        <w:tc>
          <w:tcPr>
            <w:tcW w:w="420" w:type="dxa"/>
            <w:vAlign w:val="bottom"/>
          </w:tcPr>
          <w:p>
            <w:pPr>
              <w:spacing w:after="0"/>
              <w:rPr>
                <w:sz w:val="17"/>
                <w:szCs w:val="17"/>
                <w:color w:val="auto"/>
              </w:rPr>
            </w:pPr>
          </w:p>
        </w:tc>
        <w:tc>
          <w:tcPr>
            <w:tcW w:w="104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29.64</w:t>
            </w:r>
          </w:p>
        </w:tc>
        <w:tc>
          <w:tcPr>
            <w:tcW w:w="1260" w:type="dxa"/>
            <w:vAlign w:val="bottom"/>
            <w:tcBorders>
              <w:right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1"/>
              </w:rPr>
              <w:t>6/1/17</w:t>
            </w:r>
          </w:p>
        </w:tc>
        <w:tc>
          <w:tcPr>
            <w:tcW w:w="1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3,896</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11,689</w:t>
            </w:r>
          </w:p>
        </w:tc>
        <w:tc>
          <w:tcPr>
            <w:tcW w:w="420" w:type="dxa"/>
            <w:vAlign w:val="bottom"/>
          </w:tcPr>
          <w:p>
            <w:pPr>
              <w:spacing w:after="0"/>
              <w:rPr>
                <w:sz w:val="20"/>
                <w:szCs w:val="20"/>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5/5/18</w:t>
            </w:r>
          </w:p>
        </w:tc>
        <w:tc>
          <w:tcPr>
            <w:tcW w:w="1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3,896</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37,665</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22,883</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77,573</w:t>
            </w:r>
          </w:p>
        </w:tc>
      </w:tr>
      <w:tr>
        <w:trPr>
          <w:trHeight w:val="212"/>
        </w:trPr>
        <w:tc>
          <w:tcPr>
            <w:tcW w:w="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___________________</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jc w:val="both"/>
        <w:ind w:left="580" w:hanging="572"/>
        <w:spacing w:after="0" w:line="223" w:lineRule="auto"/>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White’s stock options that expire on June 1, 2017, stock options become exercisable in four equal annual installments beginning on the first anniversary of the grant date. Mr. White’s stock options that expire on June 1, 2017, vest as follows: 12,988 on June 1, 2010, 6,494 on June 1, 2011 and 6,494 on June 1, 2012.</w:t>
      </w:r>
    </w:p>
    <w:p>
      <w:pPr>
        <w:ind w:left="580" w:hanging="572"/>
        <w:spacing w:after="0" w:line="180" w:lineRule="auto"/>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The expiration date of each stock option is 10 years after the date of grant.</w:t>
      </w:r>
    </w:p>
    <w:p>
      <w:pPr>
        <w:spacing w:after="0" w:line="2" w:lineRule="exact"/>
        <w:rPr>
          <w:rFonts w:ascii="Arial" w:cs="Arial" w:eastAsia="Arial" w:hAnsi="Arial"/>
          <w:sz w:val="25"/>
          <w:szCs w:val="25"/>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With the exception of Mr. Shearrow’s restricted stock units granted on April 16, 2007 and Mr. White’s restricted stock units granted on June 1, 2007, restricted stock shares and units vest in four equal annual installments, beginning January 31 of the year following the grant date. Mr. Shearrow’s 6,755 unvested restricted stock shares granted on April 16, 2007 vested on January 31, 2010 and Mr. White’s unvested restricted stock units granted on June 1, 2007 vest on June 1, 2012.</w:t>
      </w:r>
    </w:p>
    <w:p>
      <w:pPr>
        <w:spacing w:after="0" w:line="3" w:lineRule="exact"/>
        <w:rPr>
          <w:rFonts w:ascii="Arial" w:cs="Arial" w:eastAsia="Arial" w:hAnsi="Arial"/>
          <w:sz w:val="25"/>
          <w:szCs w:val="25"/>
          <w:color w:val="auto"/>
          <w:vertAlign w:val="superscript"/>
        </w:rPr>
      </w:pPr>
    </w:p>
    <w:p>
      <w:pPr>
        <w:ind w:left="580" w:hanging="572"/>
        <w:spacing w:after="0" w:line="209" w:lineRule="auto"/>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2009 of $3.39, multiplied by the number of unvested shares subject to the awards.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2009</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2009 and stock options and/or equity awards available to be granted in future years (adjusted for subsequent 2009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167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Number available</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for issuance</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17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Weighted-average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under equity</w:t>
            </w:r>
          </w:p>
        </w:tc>
      </w:tr>
      <w:tr>
        <w:trPr>
          <w:trHeight w:val="216"/>
        </w:trPr>
        <w:tc>
          <w:tcPr>
            <w:tcW w:w="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14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exercise price of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r>
      <w:tr>
        <w:trPr>
          <w:trHeight w:val="237"/>
        </w:trPr>
        <w:tc>
          <w:tcPr>
            <w:tcW w:w="40" w:type="dxa"/>
            <w:vAlign w:val="bottom"/>
            <w:tcBorders>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outstanding options</w:t>
            </w:r>
          </w:p>
        </w:tc>
        <w:tc>
          <w:tcPr>
            <w:tcW w:w="16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1"/>
              </w:rPr>
              <w:t xml:space="preserve">plans </w:t>
            </w:r>
            <w:r>
              <w:rPr>
                <w:rFonts w:ascii="Arial" w:cs="Arial" w:eastAsia="Arial" w:hAnsi="Arial"/>
                <w:sz w:val="25"/>
                <w:szCs w:val="25"/>
                <w:color w:val="auto"/>
                <w:w w:val="81"/>
                <w:vertAlign w:val="superscript"/>
              </w:rPr>
              <w:t>(1)</w:t>
            </w:r>
          </w:p>
        </w:tc>
      </w:tr>
      <w:tr>
        <w:trPr>
          <w:trHeight w:val="223"/>
        </w:trPr>
        <w:tc>
          <w:tcPr>
            <w:tcW w:w="40" w:type="dxa"/>
            <w:vAlign w:val="bottom"/>
            <w:tcBorders>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Equity compensation plans approved by shareholders</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3,759,566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17.68</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996,132</w:t>
            </w:r>
          </w:p>
        </w:tc>
      </w:tr>
      <w:tr>
        <w:trPr>
          <w:trHeight w:val="223"/>
        </w:trPr>
        <w:tc>
          <w:tcPr>
            <w:tcW w:w="40" w:type="dxa"/>
            <w:vAlign w:val="bottom"/>
            <w:tcBorders>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(2)</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71,446</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8.03</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right w:val="single" w:sz="8" w:color="auto"/>
            </w:tcBorders>
          </w:tcPr>
          <w:p>
            <w:pPr>
              <w:spacing w:after="0"/>
              <w:rPr>
                <w:sz w:val="21"/>
                <w:szCs w:val="21"/>
                <w:color w:val="auto"/>
              </w:rPr>
            </w:pPr>
          </w:p>
        </w:tc>
        <w:tc>
          <w:tcPr>
            <w:tcW w:w="62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3,831,012</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17.50</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996,132</w:t>
            </w:r>
          </w:p>
        </w:tc>
      </w:tr>
      <w:tr>
        <w:trPr>
          <w:trHeight w:val="212"/>
        </w:trPr>
        <w:tc>
          <w:tcPr>
            <w:tcW w:w="40" w:type="dxa"/>
            <w:vAlign w:val="bottom"/>
          </w:tcPr>
          <w:p>
            <w:pPr>
              <w:spacing w:after="0"/>
              <w:rPr>
                <w:sz w:val="18"/>
                <w:szCs w:val="18"/>
                <w:color w:val="auto"/>
              </w:rPr>
            </w:pPr>
          </w:p>
        </w:tc>
        <w:tc>
          <w:tcPr>
            <w:tcW w:w="6280" w:type="dxa"/>
            <w:vAlign w:val="bottom"/>
          </w:tcPr>
          <w:p>
            <w:pPr>
              <w:jc w:val="right"/>
              <w:ind w:right="4330"/>
              <w:spacing w:after="0"/>
              <w:rPr>
                <w:sz w:val="20"/>
                <w:szCs w:val="20"/>
                <w:color w:val="auto"/>
              </w:rPr>
            </w:pPr>
            <w:r>
              <w:rPr>
                <w:rFonts w:ascii="Arial" w:cs="Arial" w:eastAsia="Arial" w:hAnsi="Arial"/>
                <w:sz w:val="18"/>
                <w:szCs w:val="18"/>
                <w:color w:val="auto"/>
                <w:w w:val="87"/>
              </w:rPr>
              <w:t>_____________________</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ind w:left="580" w:hanging="572"/>
        <w:spacing w:after="0" w:line="183" w:lineRule="auto"/>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2" w:lineRule="exact"/>
        <w:rPr>
          <w:rFonts w:ascii="Arial" w:cs="Arial" w:eastAsia="Arial" w:hAnsi="Arial"/>
          <w:sz w:val="25"/>
          <w:szCs w:val="25"/>
          <w:color w:val="auto"/>
          <w:vertAlign w:val="superscript"/>
        </w:rPr>
      </w:pPr>
    </w:p>
    <w:p>
      <w:pPr>
        <w:ind w:left="580" w:hanging="572"/>
        <w:spacing w:after="0" w:line="208" w:lineRule="auto"/>
        <w:tabs>
          <w:tab w:leader="none" w:pos="5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were frozen as to future grants at the time of the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selective retirement benefit information for 2009 for each Named Executive Officer that was a participant in Modified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167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00" w:type="dxa"/>
            <w:vAlign w:val="bottom"/>
            <w:tcBorders>
              <w:left w:val="single" w:sz="8" w:color="auto"/>
              <w:right w:val="single" w:sz="8" w:color="auto"/>
            </w:tcBorders>
          </w:tcPr>
          <w:p>
            <w:pPr>
              <w:spacing w:after="0"/>
              <w:rPr>
                <w:sz w:val="17"/>
                <w:szCs w:val="17"/>
                <w:color w:val="auto"/>
              </w:rPr>
            </w:pPr>
          </w:p>
        </w:tc>
        <w:tc>
          <w:tcPr>
            <w:tcW w:w="3300" w:type="dxa"/>
            <w:vAlign w:val="bottom"/>
            <w:tcBorders>
              <w:right w:val="single" w:sz="8" w:color="auto"/>
            </w:tcBorders>
          </w:tcPr>
          <w:p>
            <w:pPr>
              <w:spacing w:after="0"/>
              <w:rPr>
                <w:sz w:val="17"/>
                <w:szCs w:val="17"/>
                <w:color w:val="auto"/>
              </w:rPr>
            </w:pPr>
          </w:p>
        </w:tc>
        <w:tc>
          <w:tcPr>
            <w:tcW w:w="1360" w:type="dxa"/>
            <w:vAlign w:val="bottom"/>
          </w:tcPr>
          <w:p>
            <w:pPr>
              <w:jc w:val="center"/>
              <w:ind w:left="29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Present value</w:t>
            </w:r>
          </w:p>
        </w:tc>
        <w:tc>
          <w:tcPr>
            <w:tcW w:w="1680" w:type="dxa"/>
            <w:vAlign w:val="bottom"/>
            <w:tcBorders>
              <w:right w:val="single" w:sz="8" w:color="auto"/>
            </w:tcBorders>
          </w:tcPr>
          <w:p>
            <w:pPr>
              <w:spacing w:after="0"/>
              <w:rPr>
                <w:sz w:val="17"/>
                <w:szCs w:val="17"/>
                <w:color w:val="auto"/>
              </w:rPr>
            </w:pP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1360" w:type="dxa"/>
            <w:vAlign w:val="bottom"/>
          </w:tcPr>
          <w:p>
            <w:pPr>
              <w:jc w:val="center"/>
              <w:ind w:left="290"/>
              <w:spacing w:after="0"/>
              <w:rPr>
                <w:sz w:val="20"/>
                <w:szCs w:val="20"/>
                <w:color w:val="auto"/>
              </w:rPr>
            </w:pPr>
            <w:r>
              <w:rPr>
                <w:rFonts w:ascii="Arial" w:cs="Arial" w:eastAsia="Arial" w:hAnsi="Arial"/>
                <w:sz w:val="18"/>
                <w:szCs w:val="18"/>
                <w:color w:val="auto"/>
                <w:w w:val="90"/>
              </w:rPr>
              <w:t>years of</w:t>
            </w:r>
          </w:p>
        </w:tc>
        <w:tc>
          <w:tcPr>
            <w:tcW w:w="3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2"/>
              </w:rPr>
              <w:t>of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300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1360" w:type="dxa"/>
            <w:vAlign w:val="bottom"/>
          </w:tcPr>
          <w:p>
            <w:pPr>
              <w:jc w:val="center"/>
              <w:ind w:left="290"/>
              <w:spacing w:after="0"/>
              <w:rPr>
                <w:sz w:val="20"/>
                <w:szCs w:val="20"/>
                <w:color w:val="auto"/>
              </w:rPr>
            </w:pPr>
            <w:r>
              <w:rPr>
                <w:rFonts w:ascii="Arial" w:cs="Arial" w:eastAsia="Arial" w:hAnsi="Arial"/>
                <w:sz w:val="18"/>
                <w:szCs w:val="18"/>
                <w:color w:val="auto"/>
                <w:w w:val="90"/>
              </w:rPr>
              <w:t>credited</w:t>
            </w:r>
          </w:p>
        </w:tc>
        <w:tc>
          <w:tcPr>
            <w:tcW w:w="3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8"/>
              </w:rPr>
              <w:t>accumulated</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during</w:t>
            </w:r>
          </w:p>
        </w:tc>
      </w:tr>
      <w:tr>
        <w:trPr>
          <w:trHeight w:val="237"/>
        </w:trPr>
        <w:tc>
          <w:tcPr>
            <w:tcW w:w="300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Name</w:t>
            </w:r>
          </w:p>
        </w:tc>
        <w:tc>
          <w:tcPr>
            <w:tcW w:w="330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8"/>
                <w:szCs w:val="18"/>
                <w:color w:val="auto"/>
              </w:rPr>
              <w:t>Plan name</w:t>
            </w:r>
          </w:p>
        </w:tc>
        <w:tc>
          <w:tcPr>
            <w:tcW w:w="13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7"/>
              </w:rPr>
              <w:t>service</w:t>
            </w:r>
          </w:p>
        </w:tc>
        <w:tc>
          <w:tcPr>
            <w:tcW w:w="3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2"/>
              </w:rPr>
              <w:t>benefit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Tallent</w:t>
            </w:r>
          </w:p>
        </w:tc>
        <w:tc>
          <w:tcPr>
            <w:tcW w:w="3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Modified Retirement Plan</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558,054</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Freeman</w:t>
            </w:r>
          </w:p>
        </w:tc>
        <w:tc>
          <w:tcPr>
            <w:tcW w:w="3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Modified Retirement Plan</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586,790</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Schuette</w:t>
            </w:r>
          </w:p>
        </w:tc>
        <w:tc>
          <w:tcPr>
            <w:tcW w:w="3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Modified Retirement Plan</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464,979</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Shearrow</w:t>
            </w:r>
          </w:p>
        </w:tc>
        <w:tc>
          <w:tcPr>
            <w:tcW w:w="3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Modified Retirement Plan</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48,823</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a fixed annual amount in equal installments either (1) for the lifetime of the participant and, if the participant is married upon death, a lesser lifetime amount to the participant’s spouse, or (2) a fixed payment for 15 years. The annual benefits, based on seniority and position, range from $25,000 to $120,000 per year and are taxable to the participant. The normal retirement age defined in the plan is age 65 and completion of five years of service.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auto"/>
            </w:tcBorders>
          </w:tcPr>
          <w:p>
            <w:pPr>
              <w:spacing w:after="0"/>
              <w:rPr>
                <w:sz w:val="21"/>
                <w:szCs w:val="21"/>
                <w:color w:val="auto"/>
              </w:rPr>
            </w:pPr>
          </w:p>
        </w:tc>
        <w:tc>
          <w:tcPr>
            <w:tcW w:w="2180" w:type="dxa"/>
            <w:vAlign w:val="bottom"/>
            <w:tcBorders>
              <w:top w:val="single" w:sz="8" w:color="auto"/>
              <w:bottom w:val="single" w:sz="8" w:color="auto"/>
            </w:tcBorders>
          </w:tcPr>
          <w:p>
            <w:pPr>
              <w:spacing w:after="0"/>
              <w:rPr>
                <w:sz w:val="21"/>
                <w:szCs w:val="21"/>
                <w:color w:val="auto"/>
              </w:rPr>
            </w:pPr>
          </w:p>
        </w:tc>
        <w:tc>
          <w:tcPr>
            <w:tcW w:w="7240" w:type="dxa"/>
            <w:vAlign w:val="bottom"/>
            <w:tcBorders>
              <w:top w:val="single" w:sz="8" w:color="auto"/>
              <w:bottom w:val="single" w:sz="8" w:color="auto"/>
            </w:tcBorders>
            <w:gridSpan w:val="8"/>
          </w:tcPr>
          <w:p>
            <w:pPr>
              <w:jc w:val="right"/>
              <w:ind w:right="750"/>
              <w:spacing w:after="0"/>
              <w:rPr>
                <w:sz w:val="20"/>
                <w:szCs w:val="20"/>
                <w:color w:val="auto"/>
              </w:rPr>
            </w:pPr>
            <w:r>
              <w:rPr>
                <w:rFonts w:ascii="Arial" w:cs="Arial" w:eastAsia="Arial" w:hAnsi="Arial"/>
                <w:sz w:val="18"/>
                <w:szCs w:val="18"/>
                <w:b w:val="1"/>
                <w:bCs w:val="1"/>
                <w:color w:val="auto"/>
              </w:rPr>
              <w:t>NONQUALIFIED DEFERRED COMPENSATION – ACTIVITY FOR 2009</w:t>
            </w:r>
          </w:p>
        </w:tc>
        <w:tc>
          <w:tcPr>
            <w:tcW w:w="2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spacing w:after="0"/>
              <w:rPr>
                <w:sz w:val="21"/>
                <w:szCs w:val="21"/>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right w:val="single" w:sz="8" w:color="auto"/>
            </w:tcBorders>
          </w:tcPr>
          <w:p>
            <w:pPr>
              <w:jc w:val="right"/>
              <w:ind w:right="430"/>
              <w:spacing w:after="0" w:line="201" w:lineRule="exact"/>
              <w:rPr>
                <w:sz w:val="20"/>
                <w:szCs w:val="20"/>
                <w:color w:val="auto"/>
              </w:rPr>
            </w:pPr>
            <w:r>
              <w:rPr>
                <w:rFonts w:ascii="Arial" w:cs="Arial" w:eastAsia="Arial" w:hAnsi="Arial"/>
                <w:sz w:val="18"/>
                <w:szCs w:val="18"/>
                <w:color w:val="auto"/>
              </w:rPr>
              <w:t>Executive</w:t>
            </w:r>
          </w:p>
        </w:tc>
        <w:tc>
          <w:tcPr>
            <w:tcW w:w="240" w:type="dxa"/>
            <w:vAlign w:val="bottom"/>
          </w:tcPr>
          <w:p>
            <w:pPr>
              <w:spacing w:after="0"/>
              <w:rPr>
                <w:sz w:val="17"/>
                <w:szCs w:val="17"/>
                <w:color w:val="auto"/>
              </w:rPr>
            </w:pPr>
          </w:p>
        </w:tc>
        <w:tc>
          <w:tcPr>
            <w:tcW w:w="1500" w:type="dxa"/>
            <w:vAlign w:val="bottom"/>
            <w:tcBorders>
              <w:right w:val="single" w:sz="8" w:color="auto"/>
            </w:tcBorders>
          </w:tcPr>
          <w:p>
            <w:pPr>
              <w:jc w:val="right"/>
              <w:ind w:right="430"/>
              <w:spacing w:after="0" w:line="201" w:lineRule="exact"/>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7"/>
                <w:szCs w:val="17"/>
                <w:color w:val="auto"/>
              </w:rPr>
            </w:pPr>
          </w:p>
        </w:tc>
        <w:tc>
          <w:tcPr>
            <w:tcW w:w="1320" w:type="dxa"/>
            <w:vAlign w:val="bottom"/>
            <w:tcBorders>
              <w:right w:val="single" w:sz="8" w:color="auto"/>
            </w:tcBorders>
          </w:tcPr>
          <w:p>
            <w:pPr>
              <w:jc w:val="right"/>
              <w:ind w:right="450"/>
              <w:spacing w:after="0" w:line="201" w:lineRule="exact"/>
              <w:rPr>
                <w:sz w:val="20"/>
                <w:szCs w:val="20"/>
                <w:color w:val="auto"/>
              </w:rPr>
            </w:pPr>
            <w:r>
              <w:rPr>
                <w:rFonts w:ascii="Arial" w:cs="Arial" w:eastAsia="Arial" w:hAnsi="Arial"/>
                <w:sz w:val="18"/>
                <w:szCs w:val="18"/>
                <w:color w:val="auto"/>
              </w:rPr>
              <w:t>Account</w:t>
            </w:r>
          </w:p>
        </w:tc>
        <w:tc>
          <w:tcPr>
            <w:tcW w:w="142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93"/>
              </w:rPr>
              <w:t>Withdrawals/</w:t>
            </w:r>
          </w:p>
        </w:tc>
        <w:tc>
          <w:tcPr>
            <w:tcW w:w="2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Balance at</w:t>
            </w:r>
          </w:p>
        </w:tc>
      </w:tr>
      <w:tr>
        <w:trPr>
          <w:trHeight w:val="237"/>
        </w:trPr>
        <w:tc>
          <w:tcPr>
            <w:tcW w:w="40" w:type="dxa"/>
            <w:vAlign w:val="bottom"/>
            <w:tcBorders>
              <w:right w:val="single" w:sz="8" w:color="auto"/>
            </w:tcBorders>
          </w:tcPr>
          <w:p>
            <w:pPr>
              <w:spacing w:after="0"/>
              <w:rPr>
                <w:sz w:val="20"/>
                <w:szCs w:val="20"/>
                <w:color w:val="auto"/>
              </w:rPr>
            </w:pPr>
          </w:p>
        </w:tc>
        <w:tc>
          <w:tcPr>
            <w:tcW w:w="21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Name</w:t>
            </w:r>
          </w:p>
        </w:tc>
        <w:tc>
          <w:tcPr>
            <w:tcW w:w="6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210"/>
              <w:spacing w:after="0" w:line="230" w:lineRule="exact"/>
              <w:rPr>
                <w:sz w:val="20"/>
                <w:szCs w:val="20"/>
                <w:color w:val="auto"/>
              </w:rPr>
            </w:pPr>
            <w:r>
              <w:rPr>
                <w:rFonts w:ascii="Arial" w:cs="Arial" w:eastAsia="Arial" w:hAnsi="Arial"/>
                <w:sz w:val="18"/>
                <w:szCs w:val="18"/>
                <w:color w:val="auto"/>
                <w:w w:val="92"/>
              </w:rPr>
              <w:t xml:space="preserve">contributions </w:t>
            </w:r>
            <w:r>
              <w:rPr>
                <w:rFonts w:ascii="Arial" w:cs="Arial" w:eastAsia="Arial" w:hAnsi="Arial"/>
                <w:sz w:val="25"/>
                <w:szCs w:val="25"/>
                <w:color w:val="auto"/>
                <w:w w:val="92"/>
                <w:vertAlign w:val="superscript"/>
              </w:rPr>
              <w:t>(1)</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210"/>
              <w:spacing w:after="0" w:line="230" w:lineRule="exact"/>
              <w:rPr>
                <w:sz w:val="20"/>
                <w:szCs w:val="20"/>
                <w:color w:val="auto"/>
              </w:rPr>
            </w:pPr>
            <w:r>
              <w:rPr>
                <w:rFonts w:ascii="Arial" w:cs="Arial" w:eastAsia="Arial" w:hAnsi="Arial"/>
                <w:sz w:val="18"/>
                <w:szCs w:val="18"/>
                <w:color w:val="auto"/>
                <w:w w:val="92"/>
              </w:rPr>
              <w:t xml:space="preserve">contributions </w:t>
            </w:r>
            <w:r>
              <w:rPr>
                <w:rFonts w:ascii="Arial" w:cs="Arial" w:eastAsia="Arial" w:hAnsi="Arial"/>
                <w:sz w:val="25"/>
                <w:szCs w:val="25"/>
                <w:color w:val="auto"/>
                <w:w w:val="92"/>
                <w:vertAlign w:val="superscript"/>
              </w:rPr>
              <w:t>(2)</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Earnings</w:t>
            </w:r>
          </w:p>
        </w:tc>
        <w:tc>
          <w:tcPr>
            <w:tcW w:w="14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3"/>
              </w:rPr>
              <w:t>distributions</w:t>
            </w:r>
          </w:p>
        </w:tc>
        <w:tc>
          <w:tcPr>
            <w:tcW w:w="2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year-end</w:t>
            </w:r>
          </w:p>
        </w:tc>
      </w:tr>
      <w:tr>
        <w:trPr>
          <w:trHeight w:val="223"/>
        </w:trPr>
        <w:tc>
          <w:tcPr>
            <w:tcW w:w="40" w:type="dxa"/>
            <w:vAlign w:val="bottom"/>
            <w:tcBorders>
              <w:right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Tallent</w:t>
            </w:r>
          </w:p>
        </w:tc>
        <w:tc>
          <w:tcPr>
            <w:tcW w:w="6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7,750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(207,591)</w:t>
            </w:r>
          </w:p>
        </w:tc>
        <w:tc>
          <w:tcPr>
            <w:tcW w:w="14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285,500</w:t>
            </w:r>
          </w:p>
        </w:tc>
      </w:tr>
      <w:tr>
        <w:trPr>
          <w:trHeight w:val="223"/>
        </w:trPr>
        <w:tc>
          <w:tcPr>
            <w:tcW w:w="40" w:type="dxa"/>
            <w:vAlign w:val="bottom"/>
            <w:tcBorders>
              <w:right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Freeman</w:t>
            </w:r>
          </w:p>
        </w:tc>
        <w:tc>
          <w:tcPr>
            <w:tcW w:w="6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9,998</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23,846</w:t>
            </w:r>
          </w:p>
        </w:tc>
      </w:tr>
      <w:tr>
        <w:trPr>
          <w:trHeight w:val="223"/>
        </w:trPr>
        <w:tc>
          <w:tcPr>
            <w:tcW w:w="40" w:type="dxa"/>
            <w:vAlign w:val="bottom"/>
            <w:tcBorders>
              <w:right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Schuette</w:t>
            </w:r>
          </w:p>
        </w:tc>
        <w:tc>
          <w:tcPr>
            <w:tcW w:w="6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16,368</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1,900</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(154,170)</w:t>
            </w:r>
          </w:p>
        </w:tc>
        <w:tc>
          <w:tcPr>
            <w:tcW w:w="1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73,548</w:t>
            </w:r>
          </w:p>
        </w:tc>
      </w:tr>
      <w:tr>
        <w:trPr>
          <w:trHeight w:val="223"/>
        </w:trPr>
        <w:tc>
          <w:tcPr>
            <w:tcW w:w="40" w:type="dxa"/>
            <w:vAlign w:val="bottom"/>
            <w:tcBorders>
              <w:right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Shearrow</w:t>
            </w:r>
          </w:p>
        </w:tc>
        <w:tc>
          <w:tcPr>
            <w:tcW w:w="6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40,596</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(46,002)</w:t>
            </w:r>
          </w:p>
        </w:tc>
        <w:tc>
          <w:tcPr>
            <w:tcW w:w="14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58,011</w:t>
            </w:r>
          </w:p>
        </w:tc>
      </w:tr>
      <w:tr>
        <w:trPr>
          <w:trHeight w:val="250"/>
        </w:trPr>
        <w:tc>
          <w:tcPr>
            <w:tcW w:w="40" w:type="dxa"/>
            <w:vAlign w:val="bottom"/>
            <w:tcBorders>
              <w:right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White</w:t>
            </w:r>
          </w:p>
        </w:tc>
        <w:tc>
          <w:tcPr>
            <w:tcW w:w="6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76,806</w:t>
            </w:r>
          </w:p>
        </w:tc>
        <w:tc>
          <w:tcPr>
            <w:tcW w:w="14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346,351</w:t>
            </w:r>
          </w:p>
        </w:tc>
      </w:tr>
      <w:tr>
        <w:trPr>
          <w:trHeight w:val="212"/>
        </w:trPr>
        <w:tc>
          <w:tcPr>
            <w:tcW w:w="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___________________</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left="580" w:hanging="572"/>
        <w:spacing w:after="0" w:line="211" w:lineRule="auto"/>
        <w:tabs>
          <w:tab w:leader="none" w:pos="5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All executive contributions are included in the amounts under the column headings “Salary”, “Bonus” and “Restricted stock awards” in the “Summary Compensation Table”.</w:t>
      </w:r>
    </w:p>
    <w:p>
      <w:pPr>
        <w:spacing w:after="0" w:line="1" w:lineRule="exact"/>
        <w:rPr>
          <w:rFonts w:ascii="Arial" w:cs="Arial" w:eastAsia="Arial" w:hAnsi="Arial"/>
          <w:sz w:val="25"/>
          <w:szCs w:val="25"/>
          <w:color w:val="auto"/>
          <w:vertAlign w:val="superscript"/>
        </w:rPr>
      </w:pPr>
    </w:p>
    <w:p>
      <w:pPr>
        <w:ind w:left="580" w:hanging="572"/>
        <w:spacing w:after="0" w:line="180" w:lineRule="auto"/>
        <w:tabs>
          <w:tab w:leader="none" w:pos="5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All company contributions are included in the amounts under the column heading “All other” in the “Summary Compensation Table”.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8"/>
          <w:szCs w:val="18"/>
          <w:b w:val="1"/>
          <w:bCs w:val="1"/>
          <w:i w:val="1"/>
          <w:iCs w:val="1"/>
          <w:color w:val="auto"/>
        </w:rPr>
        <w:t>401(k) Plan</w:t>
      </w:r>
      <w:r>
        <w:rPr>
          <w:rFonts w:ascii="Arial" w:cs="Arial" w:eastAsia="Arial" w:hAnsi="Arial"/>
          <w:sz w:val="18"/>
          <w:szCs w:val="18"/>
          <w:color w:val="auto"/>
        </w:rPr>
        <w:t>”) if such matching contributions would otherwise exceed the maximum allowable amounts under the 401(k) Plan and matching of deferred bonuses, dollar for dollar up to 5% of bonus or non-equity incentive compensation award, subject to the same vesting provisions of the 401(k) Plan. Although the Plan allows the Board of Directors to make discretionary contributions to the account of employee participants, the Board has never made any such discretionary contributions. The Deferred Compensation Plan also provides for the deferral of up to 100% of director fees for service by a non-employee director on the board of United or any subsidiary or community bank.</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plan are invested in the underlying mutual fund or, in the case of United common stock, recorded as common stock issuable (an equity instrument) at the time of the investment, there are no potential future costs of the plan known at this time.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5, 10, or 15 years. Alternatively, a participant may elect to have a portion (or all) of their accrued benefits paid out at a specified time before retirement in a lump sum or in annual installments for 2, 3, 4, or 5 years. The benefit payments are taxable to the participant.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Messrs. Tallent, Freeman, Schuette, and Shearrow have each entered into Amended and Restated Change in Control Severance Agreements with United. The agreements remain in effect until the termination of such executive’s employment without entitlement to the benefits under the agreement, unless earlier terminated by mutual written agreement of the executive and United.</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Amended and Restated Change in Control Severance Agreements provide for payment of compensation and benefits to the executive in the event of a “Change in Control” of United if the executive’s employment is involuntarily terminated by United without “Cause” or if the executive terminates his employment for “Good Reason”. The executive is not entitled to compensation or payments pursuant to the Amended and Restated Change in Control Severance Agreement if he is terminated by United for Cause, dies, incurs a disability, or voluntarily terminates employment (other than for Good Reason). If a Change in Control occurs during the term of the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agreement, for a period of 36 months from the date of his termination. The lump sum payment of medical benefits also includes a tax-gross up.</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Amended and Restated Change in Control Severance Agreements were entered into as of December 31, 2008 (with minor changes from the prior agreements) and are intended to ensure that the payment of any compensation or benefits under the agreement would comply with Internal Revenue Code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required by the acquisition agreement pursuant to which United acquired Gwinnett Commercial Group, United entered into an Employment Agreement with Mr. White consistent with an existing agreement he had with such company that provides for a rolling three-year term unless either party gives the other party notice that the term will not be extended. The agreement generally provides that, if Mr. White is terminated at any time by United without Cause, or Mr. White terminates his employment with United for Cause, Mr. White will receive his base salary for a period of 36 months and an amount equal to two times his annual bonus or non-equity incentive compensation award. Additionally, if, within six months following a Change of Control of United, either Mr. White terminates his employment or United terminates Mr. White other than for Cause, the agreement provides for a payment made over 24 monthly installments equal to three times the sum of his base salary then in effect, an amount equal to his average annual bonus or non-equity incentive compensation award of the three most recent years and his monthly automobile allowance multiplied by twelve.</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Employment Agreement also includes covenants by Mr. White not to compete with United or solicit its customers or prospective customers or employees for 36 months after the termination of his employment under certain circumstances.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“Change in Control” under the agreements generally means the acquisition by any person of beneficial ownership of 20 to 25%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with respect to a termination by United under the agreements is generally defined as the involuntary termination of the executive by United as result of an uncured breach of the employment agreement by Mr. White, commission of certain crimes, act or acts which are in violation of policies of United or the failure by the executive to perform his duties. “Cause” with respect to termination by Mr. White is generally defined as an uncured breach of the employment agreement by United, a material adverse diminution in his powers, responsibilities, or duties, or the required relocation of the executive to a location more than 20 miles from his existing business location. “Good Reason” for termination by an executive under the Amended and Restated Change in Control Agreement is generally defined as the occurrence during the six month period prior to, or within the 18 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All of the agreements provide that the compensation and benefits provided for under the agreement shall be reduced or modified so as to insure that United does not pay an Excess Severance Payment. If a reduction is necessary, the agreements would allow the executive to choose the manner in which the payments would be modified so long as the total payments are capped to avoid being treated as an Excess Severance Payment. None of the agreements provide for the payment of any taxes or a gross-up of payments to pay any taxes in the event any of the compensation or benefits were considered to be an Excess Severance Payment.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United’s Named Executive Officers executed a waiver in connection with United’s participation in the CPP pursuant to which they have voluntarily waived any claim against Treasury or United for any changes to such senior executive officer’s compensation or benefits that are required to comply with the limitations contained in the EESA, ARRA or any regulation thereunder. The limitations are described in “Compensation Discussion and Analysis – Regulatory Limits”, and, as described therein, all of the Named Executive Officers have executed a letter agreement waiving their right to any severance payment that violates the ARRA.</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Non-employee Directors of United received an annual retainer of $20,000 and a separate meeting fee of $3,000 for each of the five regularly scheduled Board meetings attended during 2009. The members of the Audit Committee received a separate meeting fee of $500 per regularly scheduled meeting attended. The Chairmen of the Audit and Compensation Committees each received an additional annual retainer of $5,000. 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2009, Director Bennett elected to defer a portion of his retainer and meeting fees.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Directors did not receive any restricted stock, stock option or other equity awards or any other personal benefits in 2009.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table below presents a summary of non-employee Director compensation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298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40" w:type="dxa"/>
            <w:vAlign w:val="bottom"/>
            <w:tcBorders>
              <w:top w:val="single" w:sz="8" w:color="auto"/>
            </w:tcBorders>
          </w:tcPr>
          <w:p>
            <w:pPr>
              <w:spacing w:after="0"/>
              <w:rPr>
                <w:sz w:val="18"/>
                <w:szCs w:val="18"/>
                <w:color w:val="auto"/>
              </w:rPr>
            </w:pPr>
          </w:p>
        </w:tc>
        <w:tc>
          <w:tcPr>
            <w:tcW w:w="268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Nonqualified</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8"/>
                <w:szCs w:val="18"/>
                <w:color w:val="auto"/>
              </w:rPr>
            </w:pPr>
          </w:p>
        </w:tc>
        <w:tc>
          <w:tcPr>
            <w:tcW w:w="14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0"/>
              </w:rPr>
              <w:t>Fees earned or</w:t>
            </w:r>
          </w:p>
        </w:tc>
        <w:tc>
          <w:tcPr>
            <w:tcW w:w="300" w:type="dxa"/>
            <w:vAlign w:val="bottom"/>
          </w:tcPr>
          <w:p>
            <w:pPr>
              <w:spacing w:after="0"/>
              <w:rPr>
                <w:sz w:val="18"/>
                <w:szCs w:val="18"/>
                <w:color w:val="auto"/>
              </w:rPr>
            </w:pPr>
          </w:p>
        </w:tc>
        <w:tc>
          <w:tcPr>
            <w:tcW w:w="14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deferred</w:t>
            </w:r>
          </w:p>
        </w:tc>
        <w:tc>
          <w:tcPr>
            <w:tcW w:w="220" w:type="dxa"/>
            <w:vAlign w:val="bottom"/>
          </w:tcPr>
          <w:p>
            <w:pPr>
              <w:spacing w:after="0"/>
              <w:rPr>
                <w:sz w:val="18"/>
                <w:szCs w:val="18"/>
                <w:color w:val="auto"/>
              </w:rPr>
            </w:pPr>
          </w:p>
        </w:tc>
        <w:tc>
          <w:tcPr>
            <w:tcW w:w="148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All other</w:t>
            </w:r>
          </w:p>
        </w:tc>
        <w:tc>
          <w:tcPr>
            <w:tcW w:w="420" w:type="dxa"/>
            <w:vAlign w:val="bottom"/>
          </w:tcPr>
          <w:p>
            <w:pPr>
              <w:spacing w:after="0"/>
              <w:rPr>
                <w:sz w:val="18"/>
                <w:szCs w:val="18"/>
                <w:color w:val="auto"/>
              </w:rPr>
            </w:pPr>
          </w:p>
        </w:tc>
        <w:tc>
          <w:tcPr>
            <w:tcW w:w="126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paid in cash</w:t>
            </w:r>
          </w:p>
        </w:tc>
        <w:tc>
          <w:tcPr>
            <w:tcW w:w="300" w:type="dxa"/>
            <w:vAlign w:val="bottom"/>
          </w:tcPr>
          <w:p>
            <w:pPr>
              <w:spacing w:after="0"/>
              <w:rPr>
                <w:sz w:val="10"/>
                <w:szCs w:val="10"/>
                <w:color w:val="auto"/>
              </w:rPr>
            </w:pPr>
          </w:p>
        </w:tc>
        <w:tc>
          <w:tcPr>
            <w:tcW w:w="1420" w:type="dxa"/>
            <w:vAlign w:val="bottom"/>
            <w:tcBorders>
              <w:right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89"/>
              </w:rPr>
              <w:t>compensation</w:t>
            </w:r>
          </w:p>
        </w:tc>
        <w:tc>
          <w:tcPr>
            <w:tcW w:w="220" w:type="dxa"/>
            <w:vAlign w:val="bottom"/>
          </w:tcPr>
          <w:p>
            <w:pPr>
              <w:spacing w:after="0"/>
              <w:rPr>
                <w:sz w:val="10"/>
                <w:szCs w:val="10"/>
                <w:color w:val="auto"/>
              </w:rPr>
            </w:pPr>
          </w:p>
        </w:tc>
        <w:tc>
          <w:tcPr>
            <w:tcW w:w="1480" w:type="dxa"/>
            <w:vAlign w:val="bottom"/>
            <w:tcBorders>
              <w:right w:val="single" w:sz="8" w:color="auto"/>
            </w:tcBorders>
            <w:vMerge w:val="restart"/>
          </w:tcPr>
          <w:p>
            <w:pPr>
              <w:jc w:val="right"/>
              <w:ind w:right="170"/>
              <w:spacing w:after="0" w:line="216" w:lineRule="exact"/>
              <w:rPr>
                <w:sz w:val="20"/>
                <w:szCs w:val="20"/>
                <w:color w:val="auto"/>
              </w:rPr>
            </w:pPr>
            <w:r>
              <w:rPr>
                <w:rFonts w:ascii="Arial" w:cs="Arial" w:eastAsia="Arial" w:hAnsi="Arial"/>
                <w:sz w:val="18"/>
                <w:szCs w:val="18"/>
                <w:color w:val="auto"/>
                <w:w w:val="87"/>
              </w:rPr>
              <w:t xml:space="preserve">compensation </w:t>
            </w:r>
            <w:r>
              <w:rPr>
                <w:rFonts w:ascii="Arial" w:cs="Arial" w:eastAsia="Arial" w:hAnsi="Arial"/>
                <w:sz w:val="25"/>
                <w:szCs w:val="25"/>
                <w:color w:val="auto"/>
                <w:w w:val="87"/>
                <w:vertAlign w:val="superscript"/>
              </w:rPr>
              <w:t>(1)</w:t>
            </w:r>
          </w:p>
        </w:tc>
        <w:tc>
          <w:tcPr>
            <w:tcW w:w="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26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earnings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Robert L. Head, Jr.</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42,551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89,551</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W.C. Nelson, Jr.</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42,500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65,651</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120,151</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8"/>
                <w:szCs w:val="18"/>
                <w:color w:val="auto"/>
                <w:w w:val="99"/>
              </w:rPr>
              <w:t xml:space="preserve">A. William Bennett </w:t>
            </w:r>
            <w:r>
              <w:rPr>
                <w:rFonts w:ascii="Arial" w:cs="Arial" w:eastAsia="Arial" w:hAnsi="Arial"/>
                <w:sz w:val="25"/>
                <w:szCs w:val="25"/>
                <w:color w:val="auto"/>
                <w:w w:val="99"/>
                <w:vertAlign w:val="superscript"/>
              </w:rPr>
              <w:t>(2)</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42,500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(48,349)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Robert Blalock</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10,500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Cathy Cox</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36,875</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36,875</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8"/>
                <w:szCs w:val="18"/>
                <w:color w:val="auto"/>
              </w:rPr>
              <w:t xml:space="preserve">Charles E. Hill </w:t>
            </w:r>
            <w:r>
              <w:rPr>
                <w:rFonts w:ascii="Arial" w:cs="Arial" w:eastAsia="Arial" w:hAnsi="Arial"/>
                <w:sz w:val="25"/>
                <w:szCs w:val="25"/>
                <w:color w:val="auto"/>
                <w:vertAlign w:val="superscript"/>
              </w:rPr>
              <w:t>(3)</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8,750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Hoyt O. Holloway</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John D. Stephens</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Tim Wallis</w:t>
            </w:r>
          </w:p>
        </w:tc>
        <w:tc>
          <w:tcPr>
            <w:tcW w:w="26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36,250</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(11,036)</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31,214</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auto"/>
            </w:tcBorders>
          </w:tcPr>
          <w:p>
            <w:pPr>
              <w:ind w:left="200"/>
              <w:spacing w:after="0" w:line="242" w:lineRule="exact"/>
              <w:rPr>
                <w:sz w:val="20"/>
                <w:szCs w:val="20"/>
                <w:color w:val="auto"/>
              </w:rPr>
            </w:pPr>
            <w:r>
              <w:rPr>
                <w:rFonts w:ascii="Arial" w:cs="Arial" w:eastAsia="Arial" w:hAnsi="Arial"/>
                <w:sz w:val="18"/>
                <w:szCs w:val="18"/>
                <w:color w:val="auto"/>
              </w:rPr>
              <w:t xml:space="preserve">Zell Miller </w:t>
            </w:r>
            <w:r>
              <w:rPr>
                <w:rFonts w:ascii="Arial" w:cs="Arial" w:eastAsia="Arial" w:hAnsi="Arial"/>
                <w:sz w:val="25"/>
                <w:szCs w:val="25"/>
                <w:color w:val="auto"/>
                <w:vertAlign w:val="superscript"/>
              </w:rPr>
              <w:t>(4)</w:t>
            </w:r>
          </w:p>
        </w:tc>
        <w:tc>
          <w:tcPr>
            <w:tcW w:w="26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14,752</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49,752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w:t>
      </w:r>
    </w:p>
    <w:p>
      <w:pPr>
        <w:ind w:left="580" w:hanging="572"/>
        <w:spacing w:after="0" w:line="187" w:lineRule="auto"/>
        <w:tabs>
          <w:tab w:leader="none" w:pos="5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Directors fees for serving on one or more of United’s subsidiary or community bank boards of directors.</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Former director A. William Bennett passed away on December 24, 2009.</w:t>
      </w:r>
    </w:p>
    <w:p>
      <w:pPr>
        <w:spacing w:after="0" w:line="2" w:lineRule="exact"/>
        <w:rPr>
          <w:rFonts w:ascii="Arial" w:cs="Arial" w:eastAsia="Arial" w:hAnsi="Arial"/>
          <w:sz w:val="24"/>
          <w:szCs w:val="24"/>
          <w:color w:val="auto"/>
          <w:vertAlign w:val="superscript"/>
        </w:rPr>
      </w:pPr>
    </w:p>
    <w:p>
      <w:pPr>
        <w:ind w:left="580" w:hanging="572"/>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Director Hill retired from the board of directors effective February 6, 2009.</w:t>
      </w:r>
    </w:p>
    <w:p>
      <w:pPr>
        <w:spacing w:after="0" w:line="2" w:lineRule="exact"/>
        <w:rPr>
          <w:rFonts w:ascii="Arial" w:cs="Arial" w:eastAsia="Arial" w:hAnsi="Arial"/>
          <w:sz w:val="24"/>
          <w:szCs w:val="24"/>
          <w:color w:val="auto"/>
          <w:vertAlign w:val="superscript"/>
        </w:rPr>
      </w:pPr>
    </w:p>
    <w:p>
      <w:pPr>
        <w:ind w:left="580" w:hanging="572"/>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Director emeritus.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Cathy Cox,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Hoyt O. Holloway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D. Stephens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Wallis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sets forth information regarding beneficial ownership of United’s common stock as of March 27, 2010 and is based on 94,175,857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 60 days of March 27, 2010, through the exercise of any stock option or other right, and any shares that are pledged as security pursuant to various financial obligations. The table sets forth such information with respect to:</w:t>
      </w:r>
    </w:p>
    <w:p>
      <w:pPr>
        <w:spacing w:after="0" w:line="215"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the common stock;</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common stock beneficially owned by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167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Borders>
              <w:right w:val="single" w:sz="8" w:color="auto"/>
            </w:tcBorders>
            <w:shd w:val="clear" w:color="auto" w:fill="000000"/>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 issuable</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under the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number of</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owned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directly 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within 60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restricted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beneficially</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8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Name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indirectly</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days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warrants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owned</w:t>
            </w:r>
          </w:p>
        </w:tc>
        <w:tc>
          <w:tcPr>
            <w:tcW w:w="0" w:type="dxa"/>
            <w:vAlign w:val="bottom"/>
          </w:tcPr>
          <w:p>
            <w:pPr>
              <w:spacing w:after="0"/>
              <w:rPr>
                <w:sz w:val="1"/>
                <w:szCs w:val="1"/>
                <w:color w:val="auto"/>
              </w:rPr>
            </w:pPr>
          </w:p>
        </w:tc>
      </w:tr>
      <w:tr>
        <w:trPr>
          <w:trHeight w:val="267"/>
        </w:trPr>
        <w:tc>
          <w:tcPr>
            <w:tcW w:w="60" w:type="dxa"/>
            <w:vAlign w:val="bottom"/>
            <w:tcBorders>
              <w:right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5"/>
                <w:szCs w:val="25"/>
                <w:color w:val="auto"/>
                <w:vertAlign w:val="superscript"/>
              </w:rPr>
              <w:t>(1)</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5,587,770</w:t>
            </w:r>
          </w:p>
        </w:tc>
        <w:tc>
          <w:tcPr>
            <w:tcW w:w="134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5,587,770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18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Elm Ridge Capital</w:t>
            </w:r>
          </w:p>
        </w:tc>
        <w:tc>
          <w:tcPr>
            <w:tcW w:w="13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800" w:type="dxa"/>
            <w:vAlign w:val="bottom"/>
            <w:tcBorders>
              <w:bottom w:val="single" w:sz="8" w:color="auto"/>
              <w:right w:val="single" w:sz="8" w:color="auto"/>
            </w:tcBorders>
          </w:tcPr>
          <w:p>
            <w:pPr>
              <w:spacing w:after="0" w:line="230" w:lineRule="exact"/>
              <w:rPr>
                <w:sz w:val="20"/>
                <w:szCs w:val="20"/>
                <w:color w:val="auto"/>
              </w:rPr>
            </w:pPr>
            <w:r>
              <w:rPr>
                <w:rFonts w:ascii="Arial" w:cs="Arial" w:eastAsia="Arial" w:hAnsi="Arial"/>
                <w:sz w:val="18"/>
                <w:szCs w:val="18"/>
                <w:color w:val="auto"/>
              </w:rPr>
              <w:t xml:space="preserve">Management LLC </w:t>
            </w:r>
            <w:r>
              <w:rPr>
                <w:rFonts w:ascii="Arial" w:cs="Arial" w:eastAsia="Arial" w:hAnsi="Arial"/>
                <w:sz w:val="25"/>
                <w:szCs w:val="25"/>
                <w:color w:val="auto"/>
                <w:vertAlign w:val="superscript"/>
              </w:rPr>
              <w:t>(2)</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4,919,800</w:t>
            </w: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4,919,800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67"/>
        </w:trPr>
        <w:tc>
          <w:tcPr>
            <w:tcW w:w="60" w:type="dxa"/>
            <w:vAlign w:val="bottom"/>
            <w:tcBorders>
              <w:right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Jimmy C. Tallent </w:t>
            </w:r>
            <w:r>
              <w:rPr>
                <w:rFonts w:ascii="Arial" w:cs="Arial" w:eastAsia="Arial" w:hAnsi="Arial"/>
                <w:sz w:val="25"/>
                <w:szCs w:val="25"/>
                <w:color w:val="auto"/>
                <w:vertAlign w:val="superscript"/>
              </w:rPr>
              <w:t>(3)</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598,319</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347,461</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31,418</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25,685</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8,750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1,011,633</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7"/>
        </w:trPr>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800" w:type="dxa"/>
            <w:vAlign w:val="bottom"/>
            <w:tcBorders>
              <w:bottom w:val="single" w:sz="8" w:color="auto"/>
              <w:right w:val="single" w:sz="8" w:color="auto"/>
            </w:tcBorders>
          </w:tcPr>
          <w:p>
            <w:pPr>
              <w:spacing w:after="0" w:line="200" w:lineRule="exact"/>
              <w:rPr>
                <w:sz w:val="20"/>
                <w:szCs w:val="20"/>
                <w:color w:val="auto"/>
              </w:rPr>
            </w:pPr>
            <w:r>
              <w:rPr>
                <w:rFonts w:ascii="Arial" w:cs="Arial" w:eastAsia="Arial" w:hAnsi="Arial"/>
                <w:sz w:val="17"/>
                <w:szCs w:val="17"/>
                <w:color w:val="auto"/>
              </w:rPr>
              <w:t xml:space="preserve">Robert L. Head, Jr. </w:t>
            </w:r>
            <w:r>
              <w:rPr>
                <w:rFonts w:ascii="Arial" w:cs="Arial" w:eastAsia="Arial" w:hAnsi="Arial"/>
                <w:sz w:val="23"/>
                <w:szCs w:val="23"/>
                <w:color w:val="auto"/>
                <w:vertAlign w:val="superscript"/>
              </w:rPr>
              <w:t>(4)</w:t>
            </w:r>
          </w:p>
        </w:tc>
        <w:tc>
          <w:tcPr>
            <w:tcW w:w="1380" w:type="dxa"/>
            <w:vAlign w:val="bottom"/>
            <w:tcBorders>
              <w:bottom w:val="single" w:sz="8" w:color="auto"/>
              <w:right w:val="single" w:sz="8" w:color="auto"/>
            </w:tcBorders>
          </w:tcPr>
          <w:p>
            <w:pPr>
              <w:jc w:val="right"/>
              <w:ind w:right="30"/>
              <w:spacing w:after="0" w:line="200" w:lineRule="exact"/>
              <w:rPr>
                <w:sz w:val="20"/>
                <w:szCs w:val="20"/>
                <w:color w:val="auto"/>
              </w:rPr>
            </w:pPr>
            <w:r>
              <w:rPr>
                <w:rFonts w:ascii="Arial" w:cs="Arial" w:eastAsia="Arial" w:hAnsi="Arial"/>
                <w:sz w:val="18"/>
                <w:szCs w:val="18"/>
                <w:color w:val="auto"/>
              </w:rPr>
              <w:t>1,989,875</w:t>
            </w: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right"/>
              <w:ind w:right="10"/>
              <w:spacing w:after="0" w:line="200" w:lineRule="exact"/>
              <w:rPr>
                <w:sz w:val="20"/>
                <w:szCs w:val="20"/>
                <w:color w:val="auto"/>
              </w:rPr>
            </w:pPr>
            <w:r>
              <w:rPr>
                <w:rFonts w:ascii="Arial" w:cs="Arial" w:eastAsia="Arial" w:hAnsi="Arial"/>
                <w:sz w:val="18"/>
                <w:szCs w:val="18"/>
                <w:color w:val="auto"/>
              </w:rPr>
              <w:t>75,000</w:t>
            </w:r>
          </w:p>
        </w:tc>
        <w:tc>
          <w:tcPr>
            <w:tcW w:w="1340" w:type="dxa"/>
            <w:vAlign w:val="bottom"/>
            <w:tcBorders>
              <w:bottom w:val="single" w:sz="8" w:color="auto"/>
              <w:right w:val="single" w:sz="8" w:color="auto"/>
            </w:tcBorders>
          </w:tcPr>
          <w:p>
            <w:pPr>
              <w:jc w:val="right"/>
              <w:ind w:right="10"/>
              <w:spacing w:after="0" w:line="200" w:lineRule="exact"/>
              <w:rPr>
                <w:sz w:val="20"/>
                <w:szCs w:val="20"/>
                <w:color w:val="auto"/>
              </w:rPr>
            </w:pPr>
            <w:r>
              <w:rPr>
                <w:rFonts w:ascii="Arial" w:cs="Arial" w:eastAsia="Arial" w:hAnsi="Arial"/>
                <w:sz w:val="18"/>
                <w:szCs w:val="18"/>
                <w:color w:val="auto"/>
              </w:rPr>
              <w:t>2,064,875</w:t>
            </w:r>
          </w:p>
        </w:tc>
        <w:tc>
          <w:tcPr>
            <w:tcW w:w="1440" w:type="dxa"/>
            <w:vAlign w:val="bottom"/>
            <w:tcBorders>
              <w:bottom w:val="single" w:sz="8" w:color="auto"/>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W.C. Nelson, Jr. </w:t>
            </w:r>
            <w:r>
              <w:rPr>
                <w:rFonts w:ascii="Arial" w:cs="Arial" w:eastAsia="Arial" w:hAnsi="Arial"/>
                <w:sz w:val="25"/>
                <w:szCs w:val="25"/>
                <w:color w:val="auto"/>
                <w:vertAlign w:val="superscript"/>
              </w:rPr>
              <w:t>(5)</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2,023,372</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2,073,372</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Robert Blalock </w:t>
            </w:r>
            <w:r>
              <w:rPr>
                <w:rFonts w:ascii="Arial" w:cs="Arial" w:eastAsia="Arial" w:hAnsi="Arial"/>
                <w:sz w:val="25"/>
                <w:szCs w:val="25"/>
                <w:color w:val="auto"/>
                <w:vertAlign w:val="superscript"/>
              </w:rPr>
              <w:t>(6)</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132,235</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144,735</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Cathy Cox</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3,860</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Hoyt O. Holloway </w:t>
            </w:r>
            <w:r>
              <w:rPr>
                <w:rFonts w:ascii="Arial" w:cs="Arial" w:eastAsia="Arial" w:hAnsi="Arial"/>
                <w:sz w:val="25"/>
                <w:szCs w:val="25"/>
                <w:color w:val="auto"/>
                <w:vertAlign w:val="superscript"/>
              </w:rPr>
              <w:t>(7)</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148,714</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153,714</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John D. Stephens </w:t>
            </w:r>
            <w:r>
              <w:rPr>
                <w:rFonts w:ascii="Arial" w:cs="Arial" w:eastAsia="Arial" w:hAnsi="Arial"/>
                <w:sz w:val="25"/>
                <w:szCs w:val="25"/>
                <w:color w:val="auto"/>
                <w:vertAlign w:val="superscript"/>
              </w:rPr>
              <w:t>(8)</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344,682</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344,682</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Tim Wallis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240,974</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250,974</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Guy W. Freeman </w:t>
            </w:r>
            <w:r>
              <w:rPr>
                <w:rFonts w:ascii="Arial" w:cs="Arial" w:eastAsia="Arial" w:hAnsi="Arial"/>
                <w:sz w:val="25"/>
                <w:szCs w:val="25"/>
                <w:color w:val="auto"/>
                <w:vertAlign w:val="superscript"/>
              </w:rPr>
              <w:t>(9)</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156,544</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161,799</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25,717</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2,405</w:t>
            </w: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346,465</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Rex S. Schuette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78,402</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187,553</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23,036</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20,098</w:t>
            </w: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309,089</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David P. Shearrow</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1,039</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41,562</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22,127</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19,867</w:t>
            </w: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84,595</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0" w:type="dxa"/>
            <w:vAlign w:val="bottom"/>
            <w:tcBorders>
              <w:right w:val="single" w:sz="8" w:color="auto"/>
            </w:tcBorders>
            <w:shd w:val="clear" w:color="auto" w:fill="000000"/>
          </w:tcPr>
          <w:p>
            <w:pPr>
              <w:spacing w:after="0"/>
              <w:rPr>
                <w:sz w:val="20"/>
                <w:szCs w:val="20"/>
                <w:color w:val="auto"/>
              </w:rPr>
            </w:pPr>
          </w:p>
        </w:tc>
        <w:tc>
          <w:tcPr>
            <w:tcW w:w="18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18"/>
                <w:szCs w:val="18"/>
                <w:color w:val="auto"/>
              </w:rPr>
              <w:t xml:space="preserve">Glenn S. White </w:t>
            </w:r>
            <w:r>
              <w:rPr>
                <w:rFonts w:ascii="Arial" w:cs="Arial" w:eastAsia="Arial" w:hAnsi="Arial"/>
                <w:sz w:val="25"/>
                <w:szCs w:val="25"/>
                <w:color w:val="auto"/>
                <w:vertAlign w:val="superscript"/>
              </w:rPr>
              <w:t>(10)</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246,568</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41,561</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22,103</w:t>
            </w: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315,232</w:t>
            </w:r>
          </w:p>
        </w:tc>
        <w:tc>
          <w:tcPr>
            <w:tcW w:w="14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All directors and</w:t>
            </w:r>
          </w:p>
        </w:tc>
        <w:tc>
          <w:tcPr>
            <w:tcW w:w="13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executive</w:t>
            </w:r>
          </w:p>
        </w:tc>
        <w:tc>
          <w:tcPr>
            <w:tcW w:w="13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officers as a group</w:t>
            </w:r>
          </w:p>
        </w:tc>
        <w:tc>
          <w:tcPr>
            <w:tcW w:w="13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(16 persons)</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6,023,677</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969,290</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127,489</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73,141</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166,250</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7,359,847</w:t>
            </w:r>
          </w:p>
        </w:tc>
        <w:tc>
          <w:tcPr>
            <w:tcW w:w="1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less than 1% of the deemed outstanding shares of common stock.</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5" w:lineRule="exact"/>
        <w:rPr>
          <w:sz w:val="20"/>
          <w:szCs w:val="20"/>
          <w:color w:val="auto"/>
        </w:rPr>
      </w:pPr>
    </w:p>
    <w:p>
      <w:pPr>
        <w:jc w:val="both"/>
        <w:ind w:left="580" w:hanging="572"/>
        <w:spacing w:after="0" w:line="233" w:lineRule="auto"/>
        <w:tabs>
          <w:tab w:leader="none" w:pos="5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Schedule 13G filed by BlackRock, Inc. (“BlackRock”) with the Securities and Exchange Commission on January 29, 2010, which indicates that BlackRock has sole voting power and sole dispositive power relative to 5,933,174 shares of company stock. The address of BlackRock is 40 East 52nd Street, New York, NY 10022. As previously announced, on December 1, 2009, BlackRock completed its acquisition of Barclays Global Investors from Barclays Bank PLC. As a result, [substantially all of] the BGI Entities are now included as subsidiaries of BlackRock for purposes of Schedule 13G filings.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both"/>
        <w:ind w:left="580" w:hanging="572"/>
        <w:spacing w:after="0" w:line="227" w:lineRule="auto"/>
        <w:tabs>
          <w:tab w:leader="none" w:pos="5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Based on information contained in Schedule 13G/A filed jointly by Elm Ridge Capital Management, LLC (“Elm Ridge Capital”), Ronald E. Gutfleish (“Mr. Gutfleish”), Elm Ridge Management, LLC (“Elm Ridge Management”) and Elm Ridge Offshore Master Fund, Ltd. (“Elm Ridge Offshore”) with the Securities and Exchange Commission on February 16, 2010, which indicates that Mr. Gutfleish, Elm Ridge Capital and Elm Ridge Management have shared voting power and shared dispositive power relative to 4,919,800 shares of company stock. Elm Ridge Offshore has shared voting power and shared dispositive power relative to 4,749,029 shares of company stock. The address of Mr. Gutfleish, Elm Ridge Capital and Elm Ridge Management is 3 West Main Street,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Floor, Irvington, NY 10533. The address of Elm Ridge Offshore is c/o Goldman Sachs (Cayman) Trust, Limited, P.O. Box 896, Harbour Centre,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Floor, George Town, Grand Cayman, Cayman Islands.</w:t>
      </w:r>
    </w:p>
    <w:p>
      <w:pPr>
        <w:spacing w:after="0" w:line="5" w:lineRule="exact"/>
        <w:rPr>
          <w:rFonts w:ascii="Arial" w:cs="Arial" w:eastAsia="Arial" w:hAnsi="Arial"/>
          <w:sz w:val="24"/>
          <w:szCs w:val="24"/>
          <w:color w:val="auto"/>
          <w:vertAlign w:val="superscript"/>
        </w:rPr>
      </w:pPr>
    </w:p>
    <w:p>
      <w:pPr>
        <w:ind w:left="580" w:hanging="572"/>
        <w:spacing w:after="0" w:line="208" w:lineRule="auto"/>
        <w:tabs>
          <w:tab w:leader="none" w:pos="5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385 shares owned by Mr. Tallent's wife for which he claims beneficial ownership; and 308 shares owned by Mr. Tallent's minor grandchildren for which he is custodian.</w:t>
      </w:r>
    </w:p>
    <w:p>
      <w:pPr>
        <w:spacing w:after="0" w:line="1" w:lineRule="exact"/>
        <w:rPr>
          <w:rFonts w:ascii="Arial" w:cs="Arial" w:eastAsia="Arial" w:hAnsi="Arial"/>
          <w:sz w:val="25"/>
          <w:szCs w:val="25"/>
          <w:color w:val="auto"/>
          <w:vertAlign w:val="superscript"/>
        </w:rPr>
      </w:pPr>
    </w:p>
    <w:p>
      <w:pPr>
        <w:ind w:left="580" w:right="20" w:hanging="572"/>
        <w:spacing w:after="0" w:line="209" w:lineRule="auto"/>
        <w:tabs>
          <w:tab w:leader="none" w:pos="5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1,276,179 shares pledged; 288,915 shares beneficially owned by a trust over which Mr. Head has voting power; 5,697 shares owned by Mr. Head's wife; and 36,699 shares owned by Mr. Head's grandchildren for which he is custodian.</w:t>
      </w:r>
    </w:p>
    <w:p>
      <w:pPr>
        <w:spacing w:after="0" w:line="1" w:lineRule="exact"/>
        <w:rPr>
          <w:rFonts w:ascii="Arial" w:cs="Arial" w:eastAsia="Arial" w:hAnsi="Arial"/>
          <w:sz w:val="25"/>
          <w:szCs w:val="25"/>
          <w:color w:val="auto"/>
          <w:vertAlign w:val="superscript"/>
        </w:rPr>
      </w:pPr>
    </w:p>
    <w:p>
      <w:pPr>
        <w:jc w:val="both"/>
        <w:ind w:left="580" w:hanging="572"/>
        <w:spacing w:after="0" w:line="221" w:lineRule="auto"/>
        <w:tabs>
          <w:tab w:leader="none" w:pos="625"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620,507 shares pledged; 49,594 shares owned by Mr. Nelson's minor grandchildren for which he is custodian; 1,400 shares owned by Conag Rentals, Inc., a company owned by Mr. Nelson; 1,218 shares owned by King Ford, a company in which Mr. Nelson is 50% owner, and 51,866 shares owned by Mr. Nelson’s wife.</w:t>
      </w:r>
    </w:p>
    <w:p>
      <w:pPr>
        <w:spacing w:after="0" w:line="2" w:lineRule="exact"/>
        <w:rPr>
          <w:rFonts w:ascii="Arial" w:cs="Arial" w:eastAsia="Arial" w:hAnsi="Arial"/>
          <w:sz w:val="25"/>
          <w:szCs w:val="25"/>
          <w:color w:val="auto"/>
          <w:vertAlign w:val="superscript"/>
        </w:rPr>
      </w:pPr>
    </w:p>
    <w:p>
      <w:pPr>
        <w:ind w:left="580" w:right="20" w:hanging="572"/>
        <w:spacing w:after="0" w:line="209" w:lineRule="auto"/>
        <w:tabs>
          <w:tab w:leader="none" w:pos="5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37,549 shares pledged; 120 shares owned by Mr. Blalock's child for which he is custodian; 96,608 shares owned by Blalock Insurance Agency, Inc., a company owned by Mr. Blalock; and 7,960 shares owned by Mr. Blalock’s wife.</w:t>
      </w:r>
    </w:p>
    <w:p>
      <w:pPr>
        <w:spacing w:after="0" w:line="1" w:lineRule="exact"/>
        <w:rPr>
          <w:rFonts w:ascii="Arial" w:cs="Arial" w:eastAsia="Arial" w:hAnsi="Arial"/>
          <w:sz w:val="25"/>
          <w:szCs w:val="25"/>
          <w:color w:val="auto"/>
          <w:vertAlign w:val="superscript"/>
        </w:rPr>
      </w:pPr>
    </w:p>
    <w:p>
      <w:pPr>
        <w:ind w:left="580" w:hanging="572"/>
        <w:spacing w:after="0" w:line="237" w:lineRule="auto"/>
        <w:tabs>
          <w:tab w:leader="none" w:pos="58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58,678 shares owned by Holloway Motors, Inc., a company wholly owned by Mr. Holloway; 5,726 shares owned by Mr. Holloway's wife; and fully exercisable Warrants to purchase 5,000 shares in the name of Holloway Revocable Trust, a trust over which Mr. Holloway is Trustee.</w:t>
      </w:r>
    </w:p>
    <w:p>
      <w:pPr>
        <w:ind w:left="580" w:hanging="572"/>
        <w:spacing w:after="0" w:line="180" w:lineRule="auto"/>
        <w:tabs>
          <w:tab w:leader="none" w:pos="5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11,710 shares owned by John D. Stephens &amp; Sons LP, a company owned by Mr. Stephens.</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2,498 shares owned by Mr. Freeman's wife.</w:t>
      </w:r>
    </w:p>
    <w:p>
      <w:pPr>
        <w:spacing w:after="0" w:line="2" w:lineRule="exact"/>
        <w:rPr>
          <w:rFonts w:ascii="Arial" w:cs="Arial" w:eastAsia="Arial" w:hAnsi="Arial"/>
          <w:sz w:val="24"/>
          <w:szCs w:val="24"/>
          <w:color w:val="auto"/>
          <w:vertAlign w:val="superscript"/>
        </w:rPr>
      </w:pPr>
    </w:p>
    <w:p>
      <w:pPr>
        <w:ind w:left="580" w:hanging="572"/>
        <w:spacing w:after="0" w:line="186" w:lineRule="auto"/>
        <w:tabs>
          <w:tab w:leader="none" w:pos="5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13,574 shares owned by a trust for which Mr. White claims beneficial ownership; and 35,965 shares owned by Mr. White's wife.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Section 16(a) of the Securities Exchange Act of 1934 requires United’s directors and senior executives, and persons who own more than 10% of United’s common stock, to file with the Securities and Exchange Commission certain reports of beneficial ownership of the common stock. Based solely on copies of such reports furnished to United and representations that no other reports were required, United believes that all applicable Section 16(a) reports were filed by its directors, officers and 10% shareholders during the fiscal year ended December 31, 2009 except that Director Head did not file a timely report for seven transactions in 2009 and 2008 and Director Wallis did not file a timely report for one transaction in 2009.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w:t>
      </w:r>
      <w:r>
        <w:rPr>
          <w:rFonts w:ascii="Arial" w:cs="Arial" w:eastAsia="Arial" w:hAnsi="Arial"/>
          <w:sz w:val="18"/>
          <w:szCs w:val="18"/>
          <w:b w:val="1"/>
          <w:bCs w:val="1"/>
          <w:i w:val="1"/>
          <w:iCs w:val="1"/>
          <w:color w:val="auto"/>
        </w:rPr>
        <w:t>PKM</w:t>
      </w:r>
      <w:r>
        <w:rPr>
          <w:rFonts w:ascii="Arial" w:cs="Arial" w:eastAsia="Arial" w:hAnsi="Arial"/>
          <w:sz w:val="18"/>
          <w:szCs w:val="18"/>
          <w:color w:val="auto"/>
        </w:rPr>
        <w:t>”), are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Listing Requirements.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None of the members of the Audit Committee are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2009 for filing with the Securities and Exchange Commission.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C. Nelson, Jr.,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Cathy Cox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left="1680"/>
        <w:spacing w:after="0"/>
        <w:rPr>
          <w:sz w:val="20"/>
          <w:szCs w:val="20"/>
          <w:color w:val="auto"/>
        </w:rPr>
      </w:pPr>
      <w:r>
        <w:rPr>
          <w:rFonts w:ascii="Arial" w:cs="Arial" w:eastAsia="Arial" w:hAnsi="Arial"/>
          <w:sz w:val="18"/>
          <w:szCs w:val="18"/>
          <w:b w:val="1"/>
          <w:bCs w:val="1"/>
          <w:color w:val="auto"/>
        </w:rPr>
        <w:t>PROPOSAL 2 – AMENDMENT TO RESTATED ARTICLES OF INCORPORATION TO INCREASE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Board of Directors unanimously approved, subject to shareholder approval, an amendment to the Restated Articles of Incorporation of United to increase the number of authorized shares of common stock, $1.00 par value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from 100,000,000 to 200,000,000 shares. At December 31, 2009, United had 94,045,603 shares of Common Stock issued and outstanding. The public offering of Common Stock completed by United on September 30, 2009 included the issuance of 44,505,000 shares of Common Stock, leaving United with only 5,954,397 authorized but unissued shares of Common Stock. Of the 5,954,397 remaining authorized shares of Common Stock on that date, 2,503,710 shares of Common Stock were reserved for issuance of shares for the exercise of warrants issued in connection with the issuance of preferred stock to the U.S. Treasury, exercise of warrants issued in connection with the issuance of trust preferred securities, exercise of options outstanding, vesting of restricted stock and restricted stock units and issuance of shares under our deferred compensation plan. The Board believes that it would be in the best interests of United and its shareholders to increase this number of authorized but unissued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Authorizing Increased Shares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increasing the authorized number of shares of Common Stock is to give the Board of Directors greater flexibility in connection with United’s capital structure, possible future financing requirements, employee compensation and other corporate matters. The Board also believes that having sufficient shares remaining available for use will enable the Board of Directors to act quickly to take advantage of various business opportunities, including FDIC assisted transactions, acquisitions and financings. United also needs available shares for general corporate purposes, such as for stock splits or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this proposal is approved, the Board of Directors will have the authority to issue the additional authorized shares, publicly or privately, to persons and for considerations as it may determine without further action by the shareholders. Any issues of additional Common Stock could have a dilutive effect on the book value and earnings per share of the outstanding shares and would decrease the relative voting power of current shareholders. United does not currently have any material commitments, arrangements, or understanding which would require the issuance of additional shares of Common Stock, other than as described in Proposal 4.</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does not believe that an increase in the number of authorized shares of Common Stock will have a significant impact on any attempt to gain control of United. It is possible, however, that the availability of authorized but unissued shares of Common Stock could discourage third parties from attempting to gain control since the Board could authorize the issuance of shares of Common Stock in a manner that could dilute the voting power of a person attempting to acquire control of United, increase the cost of acquiring such control or otherwise hinder such efforts. The Board is not aware of any present threat or attempt to gain control of United and this Proposal 2 is not in response to any such action nor is it being presented with the intent that it be utilized as a type of anti-takeover device.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this proposal is adopted, the text of the first paragraph of Article V in United’s Restated Articles of Incorporation would be amended to read as set forth in Appendix A. Although United intends to file the amendment with the Secretary of State of Georgia as promptly as possible after the amendment is approved by shareholders, the Board reserves the right to delay or abandon the amendment at its discretion.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The affirmative vote of holders of a majority of the shares of Common Stock outstanding on the record date is required to approve the amendment.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that you vote “FOR” Proposal 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3 – AMENDMENT TO RESTATED ARTICLES OF INCORPORATION TO ALLOW BYLAW AMENDMENTS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of Directors unanimously approved, subject to shareholder approval, an amendment to the Restated Articles of Incorporation of United to eliminate the shareholder vote required for the Board to amend the Bylaws of United. Currently, an amendment of the Bylaws requires the affirmative vote of the holders of two-thirds of the shares of United’s capital stock that are issued and outstanding and entitled to vote on such matters. The Board believes that it would be in the best interests of United and its shareholders to simplify the vote required for the amendments of the Bylaws.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Allowing Bylaw Amendments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purpose of simplifying the vote required for approval to amend the Bylaws is to streamline the process of making changes to United’s corporate governance policies and procedures, as changing circumstances may necessitate, that may require an amendment of the Bylaws. Shareholder approval of amendments to the Bylaws is very uncommon and not required by any law or regulation or Nasdaq Listing Requirements applicable to United. The articles of incorporation of many public companies expressly authorize their boards of directors to adopt, amend, alter or repeal the bylaws and do not reserve such power exclusively to the shareholders. Granting United’s Board of Directors this authority will facilitate the Board of Director’s ability to efficiently implement and adapt corporate policies and procedures, as changing circumstances may necessitate, without having to incur the expense and delay of soliciting proxies and votes from the shareholders and holding a meeting of shareholders.</w:t>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provision of the Restated Articles of Incorporation regarding the amendment of the Bylaws was implemented as an anti-takeover measure to help prevent unfriendly or unsolicited takeovers. At this time, United does not maintain the same anti-takeover concerns that existed when the Restated Articles of Incorporation were adopted, and United, therefore, desires to eliminate the super-majority voting requirement to adopt, amend or repeal any provision of the Bylaws. Accordingly, the proposed amendment removes the super-majority voting requirement for amendments to the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proposal is approved, the Board of Directors will have the authority to amend the Bylaws with the affirmative vote of the holders of a majority of the Board.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The Board of Directors does not believe that eliminating shareholder approval for amendments to the Bylaws will have a significant impact on any attempt to gain control of United. The Board is not aware of any present threat or attempt to gain control of United and this Proposal 3 is not in response to any such action.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this proposal is adopted, the text of Article XI in United’s Restated Articles of Incorporation would be amended to read as set forth in Appendix</w:t>
      </w:r>
    </w:p>
    <w:p>
      <w:pPr>
        <w:spacing w:after="0" w:line="46" w:lineRule="exact"/>
        <w:rPr>
          <w:sz w:val="20"/>
          <w:szCs w:val="20"/>
          <w:color w:val="auto"/>
        </w:rPr>
      </w:pPr>
    </w:p>
    <w:p>
      <w:pPr>
        <w:ind w:firstLine="8"/>
        <w:spacing w:after="0" w:line="261"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Although United intends to file the amendment with the Secretary of State of Georgia as promptly as possible after the amendment is approved by shareholders, the Board reserves the right to delay or abandon the amendment at its discretion.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ind w:right="1100" w:firstLine="648"/>
        <w:spacing w:after="0" w:line="277" w:lineRule="auto"/>
        <w:rPr>
          <w:sz w:val="20"/>
          <w:szCs w:val="20"/>
          <w:color w:val="auto"/>
        </w:rPr>
      </w:pPr>
      <w:r>
        <w:rPr>
          <w:rFonts w:ascii="Arial" w:cs="Arial" w:eastAsia="Arial" w:hAnsi="Arial"/>
          <w:sz w:val="18"/>
          <w:szCs w:val="18"/>
          <w:color w:val="auto"/>
        </w:rPr>
        <w:t>The affirmative vote of holders of two-thirds of the shares of Common Stock outstanding on the record date is required to approve the amendment. Accordingly, any abstention or broker non-vote will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that you vote “FOR” Proposal 3.</w:t>
      </w:r>
    </w:p>
    <w:p>
      <w:pPr>
        <w:spacing w:after="0" w:line="252" w:lineRule="exact"/>
        <w:rPr>
          <w:sz w:val="20"/>
          <w:szCs w:val="20"/>
          <w:color w:val="auto"/>
        </w:rPr>
      </w:pPr>
    </w:p>
    <w:p>
      <w:pPr>
        <w:jc w:val="center"/>
        <w:ind w:left="260" w:right="540"/>
        <w:spacing w:after="0" w:line="282" w:lineRule="auto"/>
        <w:rPr>
          <w:sz w:val="20"/>
          <w:szCs w:val="20"/>
          <w:color w:val="auto"/>
        </w:rPr>
      </w:pPr>
      <w:r>
        <w:rPr>
          <w:rFonts w:ascii="Arial" w:cs="Arial" w:eastAsia="Arial" w:hAnsi="Arial"/>
          <w:sz w:val="18"/>
          <w:szCs w:val="18"/>
          <w:b w:val="1"/>
          <w:bCs w:val="1"/>
          <w:color w:val="auto"/>
        </w:rPr>
        <w:t>PROPOSAL 4 – APPROVE THE SALE OF CONVERTIBLE PREFERRED STOCK AND GRANT OF WARRANT TO FLETCHER INTERNATIONAL, LTD.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mid-2007, and continuing through 2009 and into 2010, the financial markets and economic conditions generally were materially and adversely affected by significant declines in the values of nearly all asset classes and by a serious lack of liquidity. This was initially triggered by declines in home prices and the values of subprime mortgages, but spread to all residential construction, and residential mortgages as property prices declined rapidly and to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During this period, interbank lending and commercial paper borrowing fell sharply, precipitating a credit freeze for both institutional and individual borrowers. Unemployment has also increased significantly.</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markets have been severely disrupted by the weak housing market which resulted in the buildup of surplus housing and finished lot inventory, particularly within the Atlanta, Georgia MSA and north and coastal Georgia, which has put considerable stress on the residential construction portion of our loan portfolio. The weak economic conditions spread beyond the housing market, pushing unemployment to levels not seen in decades.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approach to managing through the challenging economic cycle has been to aggressively deal with our credit problems and dispose of troubled assets quickly, taking losses as necessary. As a result, our provision for loan losses was $310 million in 2009 compared with $184 million in 2008. Net charge-offs for 2009 were $276.7 million compared with $151.2 million in 2008.</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impact of the increase in nonperforming assets and related credit losses has resulted in significant losses over the past two years and has eroded the equity of United shareholders’ and the regulatory capital ratios of United. We reported a net loss of $228.3 million in 2009, which included non-cash charges of $95 million for goodwill impairment, a $2.9 million charge for a reduction in workforce, and a gain of $11.4 million for the acquisition of Southern Community Bank. This compared to a net loss of $63.5 million in 2008. In response to these events, we have taken steps to strengthen our capital structure by increasing common and preferred equity as well as providing for contingent capital through the Fletcher transaction discussed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7"/>
          <w:szCs w:val="17"/>
          <w:color w:val="auto"/>
        </w:rPr>
        <w:t>Capital resources and liquidity are essential to our businesses. We depend on access to a variety of sources of funding to provide us with sufficient capital resources and liquidity to meet our commitments and business needs, and to accommodate the transaction and cash management needs of our customers, including raising funds from time to time in the form of either short- or long-term borrowings or equity issuances.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weakened United States banking industry offers numerous opportunities for potential FDIC-assisted acquisitions of small to mid-sized failed and failing banks. Access to capital resources will allow us to pursue such acquisition opportunities or other growth objectives in a timely fashion, if we should decide to do so. We currently have no arrangements or understandings regarding any specific future acquisitions. Access to capital resources also will allow us to support our subsidiary bank, support asset and deposit growth and meet such business needs as attracting and recruiting talented personnel, performing operational upgrades, as necessary, and remaining current on new and emerging technology.</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asking our shareholders to support our plan to increase our capital resources and liquidity by supporting the private capital offering to Fletcher International, Ltd. Additionally, this capital offering was part of a larger transaction that included the sale of $100 million of non-performing assts at our book value to Fletcher. Both transactions are described in greater detail below. The Board of Directors believes that our ability to complete the Fletcher offering is very important to our ability to realize our capital objectives.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Issuing Shares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1, 2010, we entered into a securities purchase agreement (the “</w:t>
      </w:r>
      <w:r>
        <w:rPr>
          <w:rFonts w:ascii="Arial" w:cs="Arial" w:eastAsia="Arial" w:hAnsi="Arial"/>
          <w:sz w:val="18"/>
          <w:szCs w:val="18"/>
          <w:b w:val="1"/>
          <w:bCs w:val="1"/>
          <w:i w:val="1"/>
          <w:iCs w:val="1"/>
          <w:color w:val="auto"/>
        </w:rPr>
        <w:t>Securities Purchase Agreement</w:t>
      </w:r>
      <w:r>
        <w:rPr>
          <w:rFonts w:ascii="Arial" w:cs="Arial" w:eastAsia="Arial" w:hAnsi="Arial"/>
          <w:sz w:val="18"/>
          <w:szCs w:val="18"/>
          <w:color w:val="auto"/>
        </w:rPr>
        <w:t>”) with Fletcher pursuant to which Fletcher agreed to purchase 65,000 shares of United’s Series C convertible preferred stock, par value $1.00 per share (“</w:t>
      </w:r>
      <w:r>
        <w:rPr>
          <w:rFonts w:ascii="Arial" w:cs="Arial" w:eastAsia="Arial" w:hAnsi="Arial"/>
          <w:sz w:val="18"/>
          <w:szCs w:val="18"/>
          <w:b w:val="1"/>
          <w:bCs w:val="1"/>
          <w:i w:val="1"/>
          <w:iCs w:val="1"/>
          <w:color w:val="auto"/>
        </w:rPr>
        <w:t>Convertible Preferred Stock</w:t>
      </w:r>
      <w:r>
        <w:rPr>
          <w:rFonts w:ascii="Arial" w:cs="Arial" w:eastAsia="Arial" w:hAnsi="Arial"/>
          <w:sz w:val="18"/>
          <w:szCs w:val="18"/>
          <w:color w:val="auto"/>
        </w:rPr>
        <w:t>”), at a purchase price of $1,000 per share, for an aggregate purchase price of $65 million. In connection with this capital facility, Fletcher has the option to acquire $65 million of Convertible Preferred Stock of United by May 26, 2012, subject to limited extensions. The Preferred Stock will initially bear interest at a rate equal to the lesser of 12% per annum and LIBOR + 8% per annum, and, if shareholder approval of this proposal is received, the Preferred Stock will bear interest at a rate equal to the lesser of 8% and LIBOR + 4% per annum. If all of the conditions to Fletcher’s obligations to purchase Convertible Preferred Stock under the Securities Purchase Agreement are satisfied and Fletcher has not purchased all of the Convertible Preferred Stock by May 26, 2011, it must pay United 5% of the $65 million not yet purchased by such date, and it must pay United an additional 5% of the $65 million that is not purchased by May 26, 2012.</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Securities Purchase Agreement provides that neither United nor Fletcher shall have the right to convert or redeem any portion of the Convertible Preferred Stock into Common Stock to the extent such conversion or redemption would result in aggregate issuances to Fletcher of in excess of 9.75% of the number of shares of Common Stock that would be outstanding after giving effect to such conversion or redemption. In the event that United cannot effect a conversion or redemption of the Convertible Preferred Stock into Common Stock due to the limit described in the immediately preceding sentence, the conversion or redemption shall be effected into an equal number of shares of non-voting Common Stock Equivalent Junior Preferred Stock, par value $1.00 per share, of the Company (“</w:t>
      </w:r>
      <w:r>
        <w:rPr>
          <w:rFonts w:ascii="Arial" w:cs="Arial" w:eastAsia="Arial" w:hAnsi="Arial"/>
          <w:sz w:val="16"/>
          <w:szCs w:val="16"/>
          <w:b w:val="1"/>
          <w:bCs w:val="1"/>
          <w:i w:val="1"/>
          <w:iCs w:val="1"/>
          <w:color w:val="auto"/>
        </w:rPr>
        <w:t>Junior Preferred Stock</w:t>
      </w:r>
      <w:r>
        <w:rPr>
          <w:rFonts w:ascii="Arial" w:cs="Arial" w:eastAsia="Arial" w:hAnsi="Arial"/>
          <w:sz w:val="16"/>
          <w:szCs w:val="16"/>
          <w:color w:val="auto"/>
        </w:rPr>
        <w:t>”); provided, however, that in no event shall United effect any conversion or redemption of the Convertible Preferred Stock or exercise of the Warrant (defined below) to the extent such conversion, redemption or exercise would result in aggregate issuances to Fletcher of in excess of 33.33% of the Total Equity of United. For purposes of the preceding sentence, “Total Equity” means the value as reflected on the balance sheet of United of all shares of common, preferred and other equity capital of United outstanding as of the date of determination.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648"/>
        <w:spacing w:after="0" w:line="302" w:lineRule="auto"/>
        <w:rPr>
          <w:sz w:val="20"/>
          <w:szCs w:val="20"/>
          <w:color w:val="auto"/>
        </w:rPr>
      </w:pPr>
      <w:r>
        <w:rPr>
          <w:rFonts w:ascii="Arial" w:cs="Arial" w:eastAsia="Arial" w:hAnsi="Arial"/>
          <w:sz w:val="16"/>
          <w:szCs w:val="16"/>
          <w:color w:val="auto"/>
        </w:rPr>
        <w:t>The Convertible Preferred Stock is convertible by Fletcher at any time into Common Stock or Junior Preferred Stock, at $5.25 per share of Common Stock or one-hundredth of a share of Junior Preferred Stock. United will have the option to convert all of the Convertible Preferred Stock then outstanding into Common Stock or Junior Preferred Stock, at a conversion price of $6.02 per share of Common Stock or one-hundredth of a share of Junior Preferred Stock, at any time after May 26, 2015, in which the twenty-five day average closing stock price of our Common Stock is at or above $12.04 per share.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mentioned earlier, United has also entered into an asset purchase and sale agreement (the “</w:t>
      </w:r>
      <w:r>
        <w:rPr>
          <w:rFonts w:ascii="Arial" w:cs="Arial" w:eastAsia="Arial" w:hAnsi="Arial"/>
          <w:sz w:val="16"/>
          <w:szCs w:val="16"/>
          <w:b w:val="1"/>
          <w:bCs w:val="1"/>
          <w:i w:val="1"/>
          <w:iCs w:val="1"/>
          <w:color w:val="auto"/>
        </w:rPr>
        <w:t>Asset Purchase Agreement</w:t>
      </w:r>
      <w:r>
        <w:rPr>
          <w:rFonts w:ascii="Arial" w:cs="Arial" w:eastAsia="Arial" w:hAnsi="Arial"/>
          <w:sz w:val="16"/>
          <w:szCs w:val="16"/>
          <w:color w:val="auto"/>
        </w:rPr>
        <w:t>”) with Fletcher’s affiliate Fletcher International, Inc. and certain other affiliates (collectively,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Pursuant to the Asset Purchase Agreement, the Purchasers have agreed to purchase certain non-performing commercial and residential mortgage loans and other real estate owned properties with an aggregate carrying value equal to Bank’s carrying value of $100 million. This purchase of non-performing assets is expected to close on April 30, 2010. Pursuant to the terms of the Asset Purchase Agreement, the Purchasers will pay 20% of the purchase price in cash ($10 million of which has already been paid as a deposit) and United will loan the remaining 80% of the purchase price to acquire the non-performing assets. The Purchasers are also required to provide 17.5% of the carrying value of the assets, up front, to pre-fund the estimated three years’ of carry costs related to the purchase of the non-performing assets.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Concurrently with the payment of the deposit under the Asset Purchase Agreement by the Purchasers, Fletcher was granted a warrant to purchase Junior Preferred Stock. The warrant amount is initially equal to $15 million. The warrant amount will be increased by $0.15 for each $1.00 of assets purchased by Fletcher pursuant to the Asset Purchase Agreement, for a total increase of up to $15 million, with the increased warrant amount becoming effective once the asset purchase is closed. The warrant amount will be further increased on a dollar for dollar basis by the aggregate dollar amount of Convertible Preferred Stock purchased under the Securities Purchase Agreement in excess of $30 million. The warrant price for the first $30 million of the warrant shall be $4.25 for each one-hundredth of a share of Junior Preferred Stock. The warrant price for the amount in excess of $30 million shall be $6.02 for each one-hundredth of a share of Junior Preferred Stock. The warrant may only be exercised in a cashless exercise and is exercisable for nine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United</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this transaction is very unique and attractive for United and its shareholders. It allows us to sell $100 million of our more illiquid non-performing assets in our non-Atlanta markets while avoiding any additional charge-offs and credit costs. This is particularly attractive due to the lack of investors in these markets and the difficulty we have experienced in successfully selling lots, raw land, and other properties. This transaction helps to significantly reduce our non-performing assets by about 25%, allowing us to achieve our goal of reducing non-performing assets at the highest economic value to our shareholders while preserving our capital position.</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that transaction, the capital facility with Fletcher provides United with access to additional capital at a cost that we believe is very attractive and allows us to be more proactive in pursuing market opportunities. The Board of Directors believes that United currently maintains a sound capital position and this facility will further enhance our capital base.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to use the net proceeds from this offering to provide capital to support our subsidiary bank and for general corporate purposes which may include, without limitation, making investments at the holding company level, supporting asset and deposit growth, and engaging in acquisitions or other business combinations (which may include FDIC-assisted transactions). We do not have any specific plans for acquisitions or other business combinations at this time. Our management will retain broad discretion in the allocation of net proceeds from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Requesting Shareholder Approval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been working with Fletcher on this transaction for some time. Our objective was to create a structure that provides an opportunity for new capital combined with the sale of non-performing assets at book value that is both innovative and strategic. We appreciate the commitment by Fletcher and we welcome them as shareholders of United.</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Nasdaq Listing Requirements, we are required to obtain approval from our shareholders in order to sell or issue shares of our common stock in a non-public offering in an amount equal to 20% or more of the outstanding shares of our common stock for less than the greater of book or market value of such shares of common stock. In the Fletcher transaction, although the average purchase price for our common stock that may be issued to Fletcher is $5.15 per share, which is a premium to our market value per share of $4.41 as of March 31, 2010, it is less than our tangible book value per share of $6.02 as of December 31, 2009. As a result, the Board of Directors is seeking shareholder approval to permit the issuance of securities to Fletcher as described above.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this proposal is not approved by shareholders, the Securities Purchase Agreement provides that we shall not effect any conversion or redemption of the Preferred Stock or any exercise of the Warrant, and Fletcher shall not have the right to convert or redeem the Preferred Stock or exercise any portion of the Warrant, to the extent such action would result in issuances to Fletcher of Common Stock and Junior Preferred Stock (measured on an as converted basis) in excess of 19.99% of the shares of our common stock outstanding as of the date of the Securities Purchase Agreement. In addition, as described above, if shareholder approval is received, the interest rate on the Preferred Stock will be decreased.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proposal. Accordingly, any abstention or broker non-vote will not count as a vote against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that you vote “FOR” Proposal 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PROPOSAL 5 – APPROVAL OF ADVISORY RESOLUTION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THE COMPENSATION PLAN FOR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ARRA requires United to permit a non-binding advisory vote on the compensation of its Named Executive Officers, as described and presented in the “Executive Compensation” section, including “Compensation Discussion and Analysis” and the accompanying narrative disclosure, during the period in which any obligation arising from United’s participation in the CPP remains outstanding.</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proposal, commonly known as a “say-on-pay” proposal, gives United’s shareholders the opportunity to endorse or not endorse our executive compensation program and policies through an advisory vote on the following resolution:</w:t>
      </w:r>
    </w:p>
    <w:p>
      <w:pPr>
        <w:spacing w:after="0" w:line="19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“Resolved, that the shareholders approve the compensation of the Named Executive Officers, as described in the “Executive Compensation” section of the 2010 Proxy Statement, including the “Compensation Discussion and Analysis” and the accompanying narrative and tabular disclosures.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your vote is advisory, it will not be binding upon the Board of Directors. However, the Compensation Committee will take into account the outcome of the vote when considering future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this proposal.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Audit Committee of the Board of Directors has appointed PKM to serve as United’s independent registered public accountant during the year ended December 31, 2010. The Board of Directors will present to the Annual Meeting a proposal that such appointment be ratified.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PKM to act as the United’s independent registered public accountant for 2010. Pursuant to the Georgia Business Corporation Code, the proposal to ratify the appointment of PKM is approved if a majority of the votes cast by the holders of the shares entitled to vote at a meeting at which a quorum is present are voted for the proposal.</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United’s Articles of Incorporation nor Bylaws require that the shareholders ratify the appointment of PKM as its independent auditors. United is doing so because it believes it is a matter of good corporate practice. Should the shareholders not ratify the selection, the Audit Committee of the Board of Directors will reconsider its determination to retain PKM,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Recommendation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PKM.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PKM was the principal independent registered public accountant for United during the year ended December 31, 2009. Representatives of PKM are expected to be present at the Annual Meeting and will have the opportunity to make a statement if they desire to do so and to respond to appropriate questions. United anticipates that PKM will be United’s accountants for the 2010 fiscal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2009 and 2008, United was billed the following amounts for services rendered by PKM:</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$583,000 in 2009 and $560,000 in 2008 by PKM. These figures include agreed upon fees for certain services that were unbilled at each respective year end in connection with the 2009 and 2008 annual audits. In addition, United paid fees of $69,000 and $4,000, respectively, in 2009 and 2008 for services related to various registration statements.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United was billed approximately $23,000 in 2009 and $23,000 in 2008 by PKM for the audit of the 401(k)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There were no tax services provided in 2009 or 2008.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There were no other services performed by PKM that were not related to the audit of United’s financial statements during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jc w:val="both"/>
        <w:ind w:firstLine="648"/>
        <w:spacing w:after="0" w:line="259" w:lineRule="auto"/>
        <w:rPr>
          <w:sz w:val="20"/>
          <w:szCs w:val="20"/>
          <w:color w:val="auto"/>
        </w:rPr>
      </w:pPr>
      <w:r>
        <w:rPr>
          <w:rFonts w:ascii="Arial" w:cs="Arial" w:eastAsia="Arial" w:hAnsi="Arial"/>
          <w:sz w:val="18"/>
          <w:szCs w:val="18"/>
          <w:color w:val="auto"/>
        </w:rPr>
        <w:t>United expects that its 2011 Annual Meeting will be held in April 2011. Any proposals or director recommendations by non-management shareholders intended for presentation at the 2011 Annual Meeting must be received by United at its principal executive offices, attention of the Secretary, no later than December 13, 2010 to be considered for inclusion in the proxy statement for that meeting. United must be notified no later than March 14, 2011 of any other shareholder matter intended to be presented for action at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contained in United's annual report on Form 10-K are incorporated by reference into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514350"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the Restated Articles of Incorporation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Amendment to Restated Articles of Incorporation to Increase Shares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corporation shall have authority to issue </w:t>
      </w:r>
      <w:r>
        <w:rPr>
          <w:rFonts w:ascii="Arial" w:cs="Arial" w:eastAsia="Arial" w:hAnsi="Arial"/>
          <w:sz w:val="16"/>
          <w:szCs w:val="16"/>
          <w:color w:val="auto"/>
          <w:strike w:val="1"/>
        </w:rPr>
        <w:t>1</w:t>
      </w:r>
      <w:r>
        <w:rPr>
          <w:rFonts w:ascii="Arial" w:cs="Arial" w:eastAsia="Arial" w:hAnsi="Arial"/>
          <w:sz w:val="16"/>
          <w:szCs w:val="16"/>
          <w:u w:val="single" w:color="auto"/>
          <w:color w:val="auto"/>
        </w:rPr>
        <w:t>2</w:t>
      </w:r>
      <w:r>
        <w:rPr>
          <w:rFonts w:ascii="Arial" w:cs="Arial" w:eastAsia="Arial" w:hAnsi="Arial"/>
          <w:sz w:val="16"/>
          <w:szCs w:val="16"/>
          <w:color w:val="auto"/>
        </w:rPr>
        <w:t>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-584200</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Amendment to Restated Articles of Incorporation to Allow Bylaw Amendments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Except as otherwise provided by law, any amendment or repeal of any provision of the Articles of Incorporation </w:t>
      </w:r>
      <w:r>
        <w:rPr>
          <w:rFonts w:ascii="Arial" w:cs="Arial" w:eastAsia="Arial" w:hAnsi="Arial"/>
          <w:sz w:val="18"/>
          <w:szCs w:val="18"/>
          <w:color w:val="auto"/>
          <w:strike w:val="1"/>
        </w:rPr>
        <w:t>or the Bylaws</w:t>
      </w:r>
      <w:r>
        <w:rPr>
          <w:rFonts w:ascii="Arial" w:cs="Arial" w:eastAsia="Arial" w:hAnsi="Arial"/>
          <w:sz w:val="18"/>
          <w:szCs w:val="18"/>
          <w:color w:val="auto"/>
        </w:rPr>
        <w:t xml:space="preserve">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1" w:name="page52"/>
    <w:bookmarkEnd w:id="51"/>
    <w:p>
      <w:pPr>
        <w:ind w:left="104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6829425</wp:posOffset>
            </wp:positionH>
            <wp:positionV relativeFrom="page">
              <wp:posOffset>243205</wp:posOffset>
            </wp:positionV>
            <wp:extent cx="5746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675" cy="137160"/>
                    </a:xfrm>
                    <a:prstGeom prst="rect">
                      <a:avLst/>
                    </a:prstGeom>
                    <a:noFill/>
                  </pic:spPr>
                </pic:pic>
              </a:graphicData>
            </a:graphic>
          </wp:anchor>
        </w:drawing>
        <w:t>COMMON</w:t>
      </w:r>
    </w:p>
    <w:p>
      <w:pPr>
        <w:spacing w:after="0" w:line="23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UNITED COMMUNITY BANKS, INC.</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Annual Meeting of Shareholders</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May 26, 2010, 2:00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142875</wp:posOffset>
            </wp:positionV>
            <wp:extent cx="2607310" cy="18440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7310" cy="184404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-130810</wp:posOffset>
            </wp:positionV>
            <wp:extent cx="2504440" cy="763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04440" cy="763270"/>
                    </a:xfrm>
                    <a:prstGeom prst="rect">
                      <a:avLst/>
                    </a:prstGeom>
                    <a:noFill/>
                  </pic:spPr>
                </pic:pic>
              </a:graphicData>
            </a:graphic>
          </wp:anchor>
        </w:drawing>
      </w:r>
    </w:p>
    <w:p>
      <w:pPr>
        <w:spacing w:after="0" w:line="335"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You can vote in one of four ways:</w:t>
      </w:r>
    </w:p>
    <w:p>
      <w:pPr>
        <w:spacing w:after="0" w:line="27"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1) By Mail, 2) By Internet, 3) By Phone,</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4) In Person at the Meeting</w:t>
      </w:r>
    </w:p>
    <w:p>
      <w:pPr>
        <w:spacing w:after="0" w:line="6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See below for instructions.</w:t>
      </w:r>
    </w:p>
    <w:p>
      <w:pPr>
        <w:spacing w:after="0" w:line="77"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TO VOTE BY MAIL, COMPLETE BOTH SIDES OF</w:t>
      </w:r>
    </w:p>
    <w:p>
      <w:pPr>
        <w:spacing w:after="0" w:line="35"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THE PROXY CARD, SIGN, DATE, DETACH AND</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RETURN IN THE ENCLOSED ENVELOPE TO:</w:t>
      </w:r>
    </w:p>
    <w:p>
      <w:pPr>
        <w:spacing w:after="0" w:line="211"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Illinois Stock Transfer Co.</w:t>
      </w:r>
    </w:p>
    <w:p>
      <w:pPr>
        <w:spacing w:after="0" w:line="23"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209 West Jackson Boulevard, Suite 903,</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pacing w:after="0" w:line="25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14605</wp:posOffset>
            </wp:positionV>
            <wp:extent cx="26073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Please complete both sides of the PROXY CARD,</w:t>
      </w:r>
    </w:p>
    <w:p>
      <w:pPr>
        <w:spacing w:after="0" w:line="35"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sign, date, detach and return</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in the enclosed envelope.</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If you plan to personally attend the Annual Meeting</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of Shareholders please check the box below and list</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the names of attendees on the reverse side.</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I/We do plan to attend the 2010 meeting. o</w:t>
      </w:r>
    </w:p>
    <w:p>
      <w:pPr>
        <w:spacing w:after="0" w:line="248" w:lineRule="exact"/>
        <w:rPr>
          <w:sz w:val="20"/>
          <w:szCs w:val="20"/>
          <w:color w:val="auto"/>
        </w:rPr>
      </w:pPr>
    </w:p>
    <w:p>
      <w:pPr>
        <w:jc w:val="right"/>
        <w:spacing w:after="0"/>
        <w:tabs>
          <w:tab w:leader="none" w:pos="1540" w:val="left"/>
        </w:tabs>
        <w:rPr>
          <w:sz w:val="20"/>
          <w:szCs w:val="20"/>
          <w:color w:val="auto"/>
        </w:rPr>
      </w:pPr>
      <w:r>
        <w:rPr>
          <w:rFonts w:ascii="Arial" w:cs="Arial" w:eastAsia="Arial" w:hAnsi="Arial"/>
          <w:sz w:val="14"/>
          <w:szCs w:val="14"/>
          <w:color w:val="auto"/>
        </w:rPr>
        <w:t>DETACH PROXY CARD HERE</w:t>
      </w:r>
      <w:r>
        <w:rPr>
          <w:sz w:val="20"/>
          <w:szCs w:val="20"/>
          <w:color w:val="auto"/>
        </w:rPr>
        <w:tab/>
      </w:r>
      <w:r>
        <w:rPr>
          <w:rFonts w:ascii="Arial" w:cs="Arial" w:eastAsia="Arial" w:hAnsi="Arial"/>
          <w:sz w:val="12"/>
          <w:szCs w:val="12"/>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218440</wp:posOffset>
            </wp:positionV>
            <wp:extent cx="202374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3745" cy="154305"/>
                    </a:xfrm>
                    <a:prstGeom prst="rect">
                      <a:avLst/>
                    </a:prstGeom>
                    <a:noFill/>
                  </pic:spPr>
                </pic:pic>
              </a:graphicData>
            </a:graphic>
          </wp:anchor>
        </w:drawing>
      </w:r>
    </w:p>
    <w:p>
      <w:pPr>
        <w:spacing w:after="0" w:line="33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FFFFFF"/>
        </w:rPr>
        <w:t>VOTER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17145</wp:posOffset>
            </wp:positionV>
            <wp:extent cx="202374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23745" cy="2914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 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-59055</wp:posOffset>
            </wp:positionV>
            <wp:extent cx="7246620" cy="1389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8938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Your Internet vote is quick, confidential and your vote is immediately submitted. Just follow these easy steps:</w:t>
      </w:r>
    </w:p>
    <w:p>
      <w:pPr>
        <w:spacing w:after="0" w:line="23" w:lineRule="exact"/>
        <w:rPr>
          <w:sz w:val="20"/>
          <w:szCs w:val="20"/>
          <w:color w:val="auto"/>
        </w:rPr>
      </w:pPr>
    </w:p>
    <w:p>
      <w:pPr>
        <w:ind w:left="400" w:hanging="20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jc w:val="both"/>
        <w:ind w:left="400" w:right="220" w:hanging="207"/>
        <w:spacing w:after="0" w:line="281"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Visit our Internet voting site at </w:t>
      </w:r>
      <w:r>
        <w:rPr>
          <w:rFonts w:ascii="Arial" w:cs="Arial" w:eastAsia="Arial" w:hAnsi="Arial"/>
          <w:sz w:val="16"/>
          <w:szCs w:val="16"/>
          <w:b w:val="1"/>
          <w:bCs w:val="1"/>
          <w:color w:val="auto"/>
        </w:rPr>
        <w:t>www.ilstk.com</w:t>
      </w:r>
      <w:r>
        <w:rPr>
          <w:rFonts w:ascii="Arial" w:cs="Arial" w:eastAsia="Arial" w:hAnsi="Arial"/>
          <w:sz w:val="16"/>
          <w:szCs w:val="16"/>
          <w:color w:val="auto"/>
        </w:rPr>
        <w:t>, click on “I am a Shareholder,” select the “Internet Voting” tab, enter your Voter Control Number and the last four digits of your Tax Identification Number that is associated with the account you are voting in the designated fields. Your Voter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Control Number is shown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note that all votes cast by Internet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Monday, May 24, 2010 at 11:59 p.m. Central Time.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Your Internet vote authorizes the named proxies to vote your shares to the same extent as if you marked, signed, dated and returned the proxy card.</w:t>
      </w:r>
    </w:p>
    <w:p>
      <w:pPr>
        <w:spacing w:after="0" w:line="21"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b w:val="1"/>
          <w:bCs w:val="1"/>
          <w:color w:val="auto"/>
        </w:rPr>
        <w:t>This is a “secured” web page site. Your software and/or Internet provider must be “enabled” to access this site. Please call your software or Internet provider for further information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72466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8"/>
          <w:szCs w:val="18"/>
          <w:b w:val="1"/>
          <w:bCs w:val="1"/>
          <w:i w:val="1"/>
          <w:iCs w:val="1"/>
          <w:color w:val="FFFFFF"/>
        </w:rPr>
        <w:t>If You Vote By INTERNET,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1115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07" w:lineRule="exact"/>
        <w:rPr>
          <w:sz w:val="20"/>
          <w:szCs w:val="20"/>
          <w:color w:val="auto"/>
        </w:rPr>
      </w:pPr>
    </w:p>
    <w:p>
      <w:pPr>
        <w:jc w:val="right"/>
        <w:ind w:right="4920"/>
        <w:spacing w:after="0"/>
        <w:rPr>
          <w:sz w:val="20"/>
          <w:szCs w:val="20"/>
          <w:color w:val="auto"/>
        </w:rPr>
      </w:pPr>
      <w:r>
        <w:rPr>
          <w:rFonts w:ascii="Arial" w:cs="Arial" w:eastAsia="Arial" w:hAnsi="Arial"/>
          <w:sz w:val="18"/>
          <w:szCs w:val="18"/>
          <w:b w:val="1"/>
          <w:bCs w:val="1"/>
          <w:color w:val="auto"/>
        </w:rPr>
        <w:t>TO VOTE BY TELEPHONE</w:t>
      </w:r>
    </w:p>
    <w:p>
      <w:pPr>
        <w:spacing w:after="0" w:line="135" w:lineRule="exact"/>
        <w:rPr>
          <w:sz w:val="20"/>
          <w:szCs w:val="20"/>
          <w:color w:val="auto"/>
        </w:rPr>
      </w:pPr>
    </w:p>
    <w:p>
      <w:pPr>
        <w:jc w:val="right"/>
        <w:ind w:right="4960"/>
        <w:spacing w:after="0"/>
        <w:rPr>
          <w:sz w:val="20"/>
          <w:szCs w:val="20"/>
          <w:color w:val="auto"/>
        </w:rPr>
      </w:pPr>
      <w:r>
        <w:rPr>
          <w:rFonts w:ascii="Arial" w:cs="Arial" w:eastAsia="Arial" w:hAnsi="Arial"/>
          <w:sz w:val="16"/>
          <w:szCs w:val="16"/>
          <w:color w:val="auto"/>
        </w:rPr>
        <w:t>Your telephone vote is quick, confidential and immediate. Just follow these easy steps:</w:t>
      </w:r>
    </w:p>
    <w:p>
      <w:pPr>
        <w:spacing w:after="0" w:line="46" w:lineRule="exact"/>
        <w:rPr>
          <w:sz w:val="20"/>
          <w:szCs w:val="20"/>
          <w:color w:val="auto"/>
        </w:rPr>
      </w:pPr>
    </w:p>
    <w:p>
      <w:pPr>
        <w:ind w:left="400" w:hanging="20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Read the accompanying Proxy Statement.</w:t>
      </w:r>
    </w:p>
    <w:p>
      <w:pPr>
        <w:spacing w:after="0" w:line="9" w:lineRule="exact"/>
        <w:rPr>
          <w:rFonts w:ascii="Arial" w:cs="Arial" w:eastAsia="Arial" w:hAnsi="Arial"/>
          <w:sz w:val="18"/>
          <w:szCs w:val="18"/>
          <w:color w:val="auto"/>
        </w:rPr>
      </w:pPr>
    </w:p>
    <w:p>
      <w:pPr>
        <w:ind w:left="400" w:hanging="20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Using a Touch-Tone telephone, call Toll Free 1-800-555-8140 and follow the instructions.</w:t>
      </w:r>
    </w:p>
    <w:p>
      <w:pPr>
        <w:spacing w:after="0" w:line="9" w:lineRule="exact"/>
        <w:rPr>
          <w:rFonts w:ascii="Arial" w:cs="Arial" w:eastAsia="Arial" w:hAnsi="Arial"/>
          <w:sz w:val="18"/>
          <w:szCs w:val="18"/>
          <w:color w:val="auto"/>
        </w:rPr>
      </w:pPr>
    </w:p>
    <w:p>
      <w:pPr>
        <w:ind w:left="400" w:hanging="20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asked for your Voter Control Number, enter the number printed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note that all votes cast by telephone must be </w:t>
      </w:r>
      <w:r>
        <w:rPr>
          <w:rFonts w:ascii="Arial" w:cs="Arial" w:eastAsia="Arial" w:hAnsi="Arial"/>
          <w:sz w:val="18"/>
          <w:szCs w:val="18"/>
          <w:b w:val="1"/>
          <w:bCs w:val="1"/>
          <w:color w:val="auto"/>
        </w:rPr>
        <w:t>completed</w:t>
      </w:r>
      <w:r>
        <w:rPr>
          <w:rFonts w:ascii="Arial" w:cs="Arial" w:eastAsia="Arial" w:hAnsi="Arial"/>
          <w:sz w:val="18"/>
          <w:szCs w:val="18"/>
          <w:color w:val="auto"/>
        </w:rPr>
        <w:t xml:space="preserve"> and </w:t>
      </w:r>
      <w:r>
        <w:rPr>
          <w:rFonts w:ascii="Arial" w:cs="Arial" w:eastAsia="Arial" w:hAnsi="Arial"/>
          <w:sz w:val="18"/>
          <w:szCs w:val="18"/>
          <w:b w:val="1"/>
          <w:bCs w:val="1"/>
          <w:color w:val="auto"/>
        </w:rPr>
        <w:t>submitted</w:t>
      </w:r>
      <w:r>
        <w:rPr>
          <w:rFonts w:ascii="Arial" w:cs="Arial" w:eastAsia="Arial" w:hAnsi="Arial"/>
          <w:sz w:val="18"/>
          <w:szCs w:val="18"/>
          <w:color w:val="auto"/>
        </w:rPr>
        <w:t xml:space="preserve"> prior to Monday, May 24, 2010 at 11:59 p.m. Central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Your telephone vote authorizes the named proxies to vote your shares to the same extent as if you marked, signed, dated and returned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72466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i w:val="1"/>
          <w:iCs w:val="1"/>
          <w:color w:val="FFFFFF"/>
        </w:rPr>
        <w:t>If You Vote By TELEPHONE, Please Do Not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5829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0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 VOTE BY MAIL</w:t>
      </w:r>
    </w:p>
    <w:p>
      <w:pPr>
        <w:spacing w:after="0" w:line="13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To vote by mail, complete both sides of the proxy card, sign and date on the reverse side, detach and return the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427" w:right="239" w:bottom="1440" w:gutter="0" w:footer="0" w:header="0"/>
        </w:sectPr>
      </w:pPr>
    </w:p>
    <w:bookmarkStart w:id="52" w:name="page53"/>
    <w:bookmarkEnd w:id="52"/>
    <w:p>
      <w:pPr>
        <w:spacing w:after="0" w:line="399"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UNITED COMMUNITY</w:t>
      </w:r>
    </w:p>
    <w:p>
      <w:pPr>
        <w:spacing w:after="0" w:line="27"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BANKS,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hanging="29"/>
        <w:spacing w:after="0" w:line="308" w:lineRule="auto"/>
        <w:rPr>
          <w:sz w:val="20"/>
          <w:szCs w:val="20"/>
          <w:color w:val="auto"/>
        </w:rPr>
      </w:pPr>
      <w:r>
        <w:rPr>
          <w:rFonts w:ascii="Arial" w:cs="Arial" w:eastAsia="Arial" w:hAnsi="Arial"/>
          <w:sz w:val="17"/>
          <w:szCs w:val="17"/>
          <w:color w:val="auto"/>
        </w:rPr>
        <w:t>PLEASE LIST NAMES OF PERSON(S) ATTENDING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196215</wp:posOffset>
            </wp:positionV>
            <wp:extent cx="123507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0"/>
        <w:spacing w:after="0"/>
        <w:tabs>
          <w:tab w:leader="none" w:pos="6780" w:val="left"/>
        </w:tabs>
        <w:rPr>
          <w:sz w:val="20"/>
          <w:szCs w:val="20"/>
          <w:color w:val="auto"/>
        </w:rPr>
      </w:pPr>
      <w:r>
        <w:rPr>
          <w:rFonts w:ascii="Arial" w:cs="Arial" w:eastAsia="Arial" w:hAnsi="Arial"/>
          <w:sz w:val="18"/>
          <w:szCs w:val="18"/>
          <w:b w:val="1"/>
          <w:bCs w:val="1"/>
          <w:color w:val="auto"/>
        </w:rPr>
        <w:t>PROXY – UNITED COMMUNITY BANKS, INC.</w:t>
      </w:r>
      <w:r>
        <w:rPr>
          <w:sz w:val="20"/>
          <w:szCs w:val="20"/>
          <w:color w:val="auto"/>
        </w:rPr>
        <w:tab/>
      </w:r>
      <w:r>
        <w:rPr>
          <w:rFonts w:ascii="Arial" w:cs="Arial" w:eastAsia="Arial" w:hAnsi="Arial"/>
          <w:sz w:val="23"/>
          <w:szCs w:val="23"/>
          <w:b w:val="1"/>
          <w:bCs w:val="1"/>
          <w:color w:val="FFFFFF"/>
          <w:vertAlign w:val="subscript"/>
        </w:rPr>
        <w:t>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485394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53940" cy="188595"/>
                    </a:xfrm>
                    <a:prstGeom prst="rect">
                      <a:avLst/>
                    </a:prstGeom>
                    <a:noFill/>
                  </pic:spPr>
                </pic:pic>
              </a:graphicData>
            </a:graphic>
          </wp:anchor>
        </w:drawing>
      </w:r>
    </w:p>
    <w:p>
      <w:pPr>
        <w:spacing w:after="0" w:line="111" w:lineRule="exact"/>
        <w:rPr>
          <w:sz w:val="20"/>
          <w:szCs w:val="20"/>
          <w:color w:val="auto"/>
        </w:rPr>
      </w:pPr>
    </w:p>
    <w:p>
      <w:pPr>
        <w:jc w:val="center"/>
        <w:ind w:left="-19" w:right="420"/>
        <w:spacing w:after="0" w:line="233" w:lineRule="auto"/>
        <w:rPr>
          <w:sz w:val="20"/>
          <w:szCs w:val="20"/>
          <w:color w:val="auto"/>
        </w:rPr>
      </w:pPr>
      <w:r>
        <w:rPr>
          <w:rFonts w:ascii="Arial" w:cs="Arial" w:eastAsia="Arial" w:hAnsi="Arial"/>
          <w:sz w:val="14"/>
          <w:szCs w:val="14"/>
          <w:b w:val="1"/>
          <w:bCs w:val="1"/>
          <w:color w:val="auto"/>
        </w:rPr>
        <w:t>THIS PROXY IS SOLICITED BY THE BOARD OF DIRECTORS FOR THE 2010 ANNUAL MEETING OF SHAREHOLDERS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 hereby appoint Jimmy C. Tallent or Robert L. Head, Jr. my proxy to vote my common stock at the Annual Meeting of Shareholders of UNITED COMMUNITY BANKS, INC. to be held on May 26, 2010, and any adjournment thereof. The undersigned hereby acknowledges receipt of the Notice of Annual Meeting of Shareholders and the Proxy Statement furnished therewith. This proxy is revocable at or at any time prior to the meeting.</w:t>
      </w:r>
    </w:p>
    <w:p>
      <w:pPr>
        <w:spacing w:after="0" w:line="116" w:lineRule="exact"/>
        <w:rPr>
          <w:sz w:val="20"/>
          <w:szCs w:val="20"/>
          <w:color w:val="auto"/>
        </w:rPr>
      </w:pPr>
    </w:p>
    <w:p>
      <w:pPr>
        <w:ind w:left="200" w:right="140" w:hanging="199"/>
        <w:spacing w:after="0" w:line="230" w:lineRule="auto"/>
        <w:tabs>
          <w:tab w:leader="none" w:pos="180" w:val="left"/>
        </w:tabs>
        <w:rPr>
          <w:sz w:val="20"/>
          <w:szCs w:val="20"/>
          <w:color w:val="auto"/>
        </w:rPr>
      </w:pPr>
      <w:r>
        <w:rPr>
          <w:rFonts w:ascii="Arial" w:cs="Arial" w:eastAsia="Arial" w:hAnsi="Arial"/>
          <w:sz w:val="14"/>
          <w:szCs w:val="14"/>
          <w:color w:val="auto"/>
        </w:rPr>
        <w:t>1.</w:t>
        <w:tab/>
        <w:t>To elect eight directors to constitute the Board of Directors to serve until the next annual meeting and until their successors are elected and qualified.</w:t>
      </w:r>
    </w:p>
    <w:tbl>
      <w:tblPr>
        <w:tblLayout w:type="fixed"/>
        <w:tblInd w:w="780" w:type="dxa"/>
        <w:tblCellMar>
          <w:top w:w="0" w:type="dxa"/>
          <w:left w:w="0" w:type="dxa"/>
          <w:bottom w:w="0" w:type="dxa"/>
          <w:right w:w="0" w:type="dxa"/>
        </w:tblCellMar>
      </w:tblPr>
      <w:tr>
        <w:trPr>
          <w:trHeight w:val="141"/>
        </w:trPr>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76"/>
              </w:rPr>
              <w:t>01</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Jimmy C. Tallent</w:t>
            </w:r>
          </w:p>
        </w:tc>
        <w:tc>
          <w:tcPr>
            <w:tcW w:w="5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FOR</w:t>
            </w:r>
          </w:p>
        </w:tc>
        <w:tc>
          <w:tcPr>
            <w:tcW w:w="1520" w:type="dxa"/>
            <w:vAlign w:val="bottom"/>
          </w:tcPr>
          <w:p>
            <w:pPr>
              <w:jc w:val="center"/>
              <w:ind w:right="34"/>
              <w:spacing w:after="0" w:line="141" w:lineRule="exact"/>
              <w:rPr>
                <w:sz w:val="20"/>
                <w:szCs w:val="20"/>
                <w:color w:val="auto"/>
              </w:rPr>
            </w:pPr>
            <w:r>
              <w:rPr>
                <w:rFonts w:ascii="Arial" w:cs="Arial" w:eastAsia="Arial" w:hAnsi="Arial"/>
                <w:sz w:val="14"/>
                <w:szCs w:val="14"/>
                <w:b w:val="1"/>
                <w:bCs w:val="1"/>
                <w:color w:val="auto"/>
              </w:rPr>
              <w:t>VOTE WITHHELD</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L. Cathy Cox</w:t>
            </w:r>
          </w:p>
        </w:tc>
        <w:tc>
          <w:tcPr>
            <w:tcW w:w="5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FOR</w:t>
            </w:r>
          </w:p>
        </w:tc>
        <w:tc>
          <w:tcPr>
            <w:tcW w:w="13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VOTE WITHHELD</w:t>
            </w:r>
          </w:p>
        </w:tc>
        <w:tc>
          <w:tcPr>
            <w:tcW w:w="0" w:type="dxa"/>
            <w:vAlign w:val="bottom"/>
          </w:tcPr>
          <w:p>
            <w:pPr>
              <w:spacing w:after="0"/>
              <w:rPr>
                <w:sz w:val="1"/>
                <w:szCs w:val="1"/>
                <w:color w:val="auto"/>
              </w:rPr>
            </w:pPr>
          </w:p>
        </w:tc>
      </w:tr>
      <w:tr>
        <w:trPr>
          <w:trHeight w:val="212"/>
        </w:trPr>
        <w:tc>
          <w:tcPr>
            <w:tcW w:w="1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520" w:type="dxa"/>
            <w:vAlign w:val="bottom"/>
          </w:tcPr>
          <w:p>
            <w:pPr>
              <w:jc w:val="center"/>
              <w:ind w:right="34"/>
              <w:spacing w:after="0"/>
              <w:rPr>
                <w:sz w:val="20"/>
                <w:szCs w:val="20"/>
                <w:color w:val="auto"/>
              </w:rPr>
            </w:pPr>
            <w:r>
              <w:rPr>
                <w:rFonts w:ascii="Arial" w:cs="Arial" w:eastAsia="Arial" w:hAnsi="Arial"/>
                <w:sz w:val="18"/>
                <w:szCs w:val="18"/>
                <w:color w:val="auto"/>
                <w:w w:val="79"/>
              </w:rPr>
              <w:t>o</w:t>
            </w: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1240" w:type="dxa"/>
            <w:vAlign w:val="bottom"/>
          </w:tcPr>
          <w:p>
            <w:pPr>
              <w:ind w:left="20"/>
              <w:spacing w:after="0"/>
              <w:rPr>
                <w:sz w:val="20"/>
                <w:szCs w:val="20"/>
                <w:color w:val="auto"/>
              </w:rPr>
            </w:pPr>
            <w:r>
              <w:rPr>
                <w:rFonts w:ascii="Arial" w:cs="Arial" w:eastAsia="Arial" w:hAnsi="Arial"/>
                <w:sz w:val="14"/>
                <w:szCs w:val="14"/>
                <w:color w:val="auto"/>
              </w:rPr>
              <w:t>Robert L. Head, Jr.</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520" w:type="dxa"/>
            <w:vAlign w:val="bottom"/>
          </w:tcPr>
          <w:p>
            <w:pPr>
              <w:jc w:val="center"/>
              <w:ind w:right="34"/>
              <w:spacing w:after="0"/>
              <w:rPr>
                <w:sz w:val="20"/>
                <w:szCs w:val="20"/>
                <w:color w:val="auto"/>
              </w:rPr>
            </w:pPr>
            <w:r>
              <w:rPr>
                <w:rFonts w:ascii="Arial" w:cs="Arial" w:eastAsia="Arial" w:hAnsi="Arial"/>
                <w:sz w:val="18"/>
                <w:szCs w:val="18"/>
                <w:color w:val="auto"/>
                <w:w w:val="79"/>
              </w:rPr>
              <w:t>o</w:t>
            </w:r>
          </w:p>
        </w:tc>
        <w:tc>
          <w:tcPr>
            <w:tcW w:w="360" w:type="dxa"/>
            <w:vAlign w:val="bottom"/>
          </w:tcPr>
          <w:p>
            <w:pPr>
              <w:jc w:val="right"/>
              <w:spacing w:after="0"/>
              <w:rPr>
                <w:sz w:val="20"/>
                <w:szCs w:val="20"/>
                <w:color w:val="auto"/>
              </w:rPr>
            </w:pPr>
            <w:r>
              <w:rPr>
                <w:rFonts w:ascii="Arial" w:cs="Arial" w:eastAsia="Arial" w:hAnsi="Arial"/>
                <w:sz w:val="14"/>
                <w:szCs w:val="14"/>
                <w:color w:val="auto"/>
              </w:rPr>
              <w:t>06</w:t>
            </w:r>
          </w:p>
        </w:tc>
        <w:tc>
          <w:tcPr>
            <w:tcW w:w="1220" w:type="dxa"/>
            <w:vAlign w:val="bottom"/>
          </w:tcPr>
          <w:p>
            <w:pPr>
              <w:ind w:left="20"/>
              <w:spacing w:after="0"/>
              <w:rPr>
                <w:sz w:val="20"/>
                <w:szCs w:val="20"/>
                <w:color w:val="auto"/>
              </w:rPr>
            </w:pPr>
            <w:r>
              <w:rPr>
                <w:rFonts w:ascii="Arial" w:cs="Arial" w:eastAsia="Arial" w:hAnsi="Arial"/>
                <w:sz w:val="14"/>
                <w:szCs w:val="14"/>
                <w:color w:val="auto"/>
              </w:rPr>
              <w:t>Hoyt O. Holloway</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4"/>
                <w:szCs w:val="14"/>
                <w:color w:val="auto"/>
                <w:w w:val="76"/>
              </w:rPr>
              <w:t>03</w:t>
            </w:r>
          </w:p>
        </w:tc>
        <w:tc>
          <w:tcPr>
            <w:tcW w:w="1240" w:type="dxa"/>
            <w:vAlign w:val="bottom"/>
          </w:tcPr>
          <w:p>
            <w:pPr>
              <w:ind w:left="20"/>
              <w:spacing w:after="0"/>
              <w:rPr>
                <w:sz w:val="20"/>
                <w:szCs w:val="20"/>
                <w:color w:val="auto"/>
              </w:rPr>
            </w:pPr>
            <w:r>
              <w:rPr>
                <w:rFonts w:ascii="Arial" w:cs="Arial" w:eastAsia="Arial" w:hAnsi="Arial"/>
                <w:sz w:val="14"/>
                <w:szCs w:val="14"/>
                <w:color w:val="auto"/>
              </w:rPr>
              <w:t>W.C. Nelson, Jr.</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520" w:type="dxa"/>
            <w:vAlign w:val="bottom"/>
          </w:tcPr>
          <w:p>
            <w:pPr>
              <w:jc w:val="center"/>
              <w:ind w:right="34"/>
              <w:spacing w:after="0"/>
              <w:rPr>
                <w:sz w:val="20"/>
                <w:szCs w:val="20"/>
                <w:color w:val="auto"/>
              </w:rPr>
            </w:pPr>
            <w:r>
              <w:rPr>
                <w:rFonts w:ascii="Arial" w:cs="Arial" w:eastAsia="Arial" w:hAnsi="Arial"/>
                <w:sz w:val="18"/>
                <w:szCs w:val="18"/>
                <w:color w:val="auto"/>
                <w:w w:val="79"/>
              </w:rPr>
              <w:t>o</w:t>
            </w:r>
          </w:p>
        </w:tc>
        <w:tc>
          <w:tcPr>
            <w:tcW w:w="360" w:type="dxa"/>
            <w:vAlign w:val="bottom"/>
          </w:tcPr>
          <w:p>
            <w:pPr>
              <w:jc w:val="right"/>
              <w:spacing w:after="0"/>
              <w:rPr>
                <w:sz w:val="20"/>
                <w:szCs w:val="20"/>
                <w:color w:val="auto"/>
              </w:rPr>
            </w:pPr>
            <w:r>
              <w:rPr>
                <w:rFonts w:ascii="Arial" w:cs="Arial" w:eastAsia="Arial" w:hAnsi="Arial"/>
                <w:sz w:val="14"/>
                <w:szCs w:val="14"/>
                <w:color w:val="auto"/>
              </w:rPr>
              <w:t>07</w:t>
            </w:r>
          </w:p>
        </w:tc>
        <w:tc>
          <w:tcPr>
            <w:tcW w:w="1220" w:type="dxa"/>
            <w:vAlign w:val="bottom"/>
          </w:tcPr>
          <w:p>
            <w:pPr>
              <w:ind w:left="20"/>
              <w:spacing w:after="0"/>
              <w:rPr>
                <w:sz w:val="20"/>
                <w:szCs w:val="20"/>
                <w:color w:val="auto"/>
              </w:rPr>
            </w:pPr>
            <w:r>
              <w:rPr>
                <w:rFonts w:ascii="Arial" w:cs="Arial" w:eastAsia="Arial" w:hAnsi="Arial"/>
                <w:sz w:val="14"/>
                <w:szCs w:val="14"/>
                <w:color w:val="auto"/>
              </w:rPr>
              <w:t>John D. Stephens</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35"/>
        </w:trPr>
        <w:tc>
          <w:tcPr>
            <w:tcW w:w="160" w:type="dxa"/>
            <w:vAlign w:val="bottom"/>
          </w:tcPr>
          <w:p>
            <w:pPr>
              <w:jc w:val="right"/>
              <w:spacing w:after="0"/>
              <w:rPr>
                <w:sz w:val="20"/>
                <w:szCs w:val="20"/>
                <w:color w:val="auto"/>
              </w:rPr>
            </w:pPr>
            <w:r>
              <w:rPr>
                <w:rFonts w:ascii="Arial" w:cs="Arial" w:eastAsia="Arial" w:hAnsi="Arial"/>
                <w:sz w:val="14"/>
                <w:szCs w:val="14"/>
                <w:color w:val="auto"/>
                <w:w w:val="76"/>
              </w:rPr>
              <w:t>04</w:t>
            </w:r>
          </w:p>
        </w:tc>
        <w:tc>
          <w:tcPr>
            <w:tcW w:w="1240" w:type="dxa"/>
            <w:vAlign w:val="bottom"/>
          </w:tcPr>
          <w:p>
            <w:pPr>
              <w:ind w:left="20"/>
              <w:spacing w:after="0"/>
              <w:rPr>
                <w:sz w:val="20"/>
                <w:szCs w:val="20"/>
                <w:color w:val="auto"/>
              </w:rPr>
            </w:pPr>
            <w:r>
              <w:rPr>
                <w:rFonts w:ascii="Arial" w:cs="Arial" w:eastAsia="Arial" w:hAnsi="Arial"/>
                <w:sz w:val="14"/>
                <w:szCs w:val="14"/>
                <w:color w:val="auto"/>
              </w:rPr>
              <w:t>Robert H. Blalock</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520" w:type="dxa"/>
            <w:vAlign w:val="bottom"/>
          </w:tcPr>
          <w:p>
            <w:pPr>
              <w:jc w:val="center"/>
              <w:ind w:right="34"/>
              <w:spacing w:after="0"/>
              <w:rPr>
                <w:sz w:val="20"/>
                <w:szCs w:val="20"/>
                <w:color w:val="auto"/>
              </w:rPr>
            </w:pPr>
            <w:r>
              <w:rPr>
                <w:rFonts w:ascii="Arial" w:cs="Arial" w:eastAsia="Arial" w:hAnsi="Arial"/>
                <w:sz w:val="18"/>
                <w:szCs w:val="18"/>
                <w:color w:val="auto"/>
                <w:w w:val="79"/>
              </w:rPr>
              <w:t>o</w:t>
            </w: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1220" w:type="dxa"/>
            <w:vAlign w:val="bottom"/>
          </w:tcPr>
          <w:p>
            <w:pPr>
              <w:ind w:left="20"/>
              <w:spacing w:after="0"/>
              <w:rPr>
                <w:sz w:val="20"/>
                <w:szCs w:val="20"/>
                <w:color w:val="auto"/>
              </w:rPr>
            </w:pPr>
            <w:r>
              <w:rPr>
                <w:rFonts w:ascii="Arial" w:cs="Arial" w:eastAsia="Arial" w:hAnsi="Arial"/>
                <w:sz w:val="14"/>
                <w:szCs w:val="14"/>
                <w:color w:val="auto"/>
              </w:rPr>
              <w:t>Tim Wallis</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right="80" w:hanging="198"/>
        <w:spacing w:after="0" w:line="253" w:lineRule="auto"/>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 approve an amendment to the Amended and Restated Articles of Incorporation of United to increase in the number of shares of common stock available for issuance.</w:t>
      </w:r>
    </w:p>
    <w:p>
      <w:pPr>
        <w:spacing w:after="0" w:line="30" w:lineRule="exact"/>
        <w:rPr>
          <w:sz w:val="20"/>
          <w:szCs w:val="20"/>
          <w:color w:val="auto"/>
        </w:rPr>
      </w:pPr>
    </w:p>
    <w:p>
      <w:pPr>
        <w:ind w:left="480"/>
        <w:spacing w:after="0"/>
        <w:tabs>
          <w:tab w:leader="none" w:pos="1440" w:val="left"/>
          <w:tab w:leader="none" w:pos="27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32" w:lineRule="exact"/>
        <w:rPr>
          <w:sz w:val="20"/>
          <w:szCs w:val="20"/>
          <w:color w:val="auto"/>
        </w:rPr>
      </w:pPr>
    </w:p>
    <w:p>
      <w:pPr>
        <w:sectPr>
          <w:pgSz w:w="11900" w:h="16838" w:orient="portrait"/>
          <w:cols w:equalWidth="0" w:num="2">
            <w:col w:w="2180" w:space="440"/>
            <w:col w:w="7640"/>
          </w:cols>
          <w:pgMar w:left="820" w:top="62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below signed acknowledges receipt from the Company prior to the execution of this proxy of a Notice of Annual Meeting of Shareholders, a Proxy Statement for the Annual Meeting of Shareholders and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-1807845</wp:posOffset>
            </wp:positionV>
            <wp:extent cx="12350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-1507490</wp:posOffset>
            </wp:positionV>
            <wp:extent cx="12350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-1122045</wp:posOffset>
            </wp:positionV>
            <wp:extent cx="123507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-778510</wp:posOffset>
            </wp:positionV>
            <wp:extent cx="123507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335280</wp:posOffset>
            </wp:positionV>
            <wp:extent cx="26073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right="20" w:hanging="198"/>
        <w:spacing w:after="0" w:line="236" w:lineRule="auto"/>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 approve an amendment to the Amended and Restated Articles of Incorporation to allow for amendments to the Bylaws by the Board of Directors.</w:t>
      </w:r>
    </w:p>
    <w:p>
      <w:pPr>
        <w:spacing w:after="0" w:line="1" w:lineRule="exact"/>
        <w:rPr>
          <w:sz w:val="20"/>
          <w:szCs w:val="20"/>
          <w:color w:val="auto"/>
        </w:rPr>
      </w:pPr>
    </w:p>
    <w:p>
      <w:pPr>
        <w:ind w:left="480"/>
        <w:spacing w:after="0"/>
        <w:tabs>
          <w:tab w:leader="none" w:pos="1440" w:val="left"/>
          <w:tab w:leader="none" w:pos="27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15" w:lineRule="exact"/>
        <w:rPr>
          <w:sz w:val="20"/>
          <w:szCs w:val="20"/>
          <w:color w:val="auto"/>
        </w:rPr>
      </w:pPr>
    </w:p>
    <w:p>
      <w:pPr>
        <w:ind w:left="200" w:hanging="198"/>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approve the sale of convertible preferred stock and grant of a warrant to purchase our common stock equivalent</w:t>
      </w:r>
    </w:p>
    <w:p>
      <w:pPr>
        <w:ind w:left="200" w:right="200"/>
        <w:spacing w:after="0" w:line="237" w:lineRule="auto"/>
        <w:rPr>
          <w:rFonts w:ascii="Arial" w:cs="Arial" w:eastAsia="Arial" w:hAnsi="Arial"/>
          <w:sz w:val="14"/>
          <w:szCs w:val="14"/>
          <w:color w:val="auto"/>
        </w:rPr>
      </w:pPr>
      <w:r>
        <w:rPr>
          <w:rFonts w:ascii="Arial" w:cs="Arial" w:eastAsia="Arial" w:hAnsi="Arial"/>
          <w:sz w:val="14"/>
          <w:szCs w:val="14"/>
          <w:color w:val="auto"/>
        </w:rPr>
        <w:t>junior preferred stock to Fletcher International, Ltd. which, if converted and exercised, could result in an issuance of common stock in excess of 20% of our outstanding shares of common stock.</w:t>
      </w:r>
    </w:p>
    <w:p>
      <w:pPr>
        <w:spacing w:after="0" w:line="1" w:lineRule="exact"/>
        <w:rPr>
          <w:sz w:val="20"/>
          <w:szCs w:val="20"/>
          <w:color w:val="auto"/>
        </w:rPr>
      </w:pPr>
    </w:p>
    <w:p>
      <w:pPr>
        <w:ind w:left="480"/>
        <w:spacing w:after="0"/>
        <w:tabs>
          <w:tab w:leader="none" w:pos="1440" w:val="left"/>
          <w:tab w:leader="none" w:pos="27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5.  To approve an advisory resolution supporting the compensation plan for executive officers.</w:t>
      </w:r>
    </w:p>
    <w:p>
      <w:pPr>
        <w:ind w:left="480"/>
        <w:spacing w:after="0"/>
        <w:tabs>
          <w:tab w:leader="none" w:pos="1440" w:val="left"/>
          <w:tab w:leader="none" w:pos="27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6.  To ratify the appointment of Porter Keadle Moore, LLP as independent registered public accountant for 2010.</w:t>
      </w:r>
    </w:p>
    <w:p>
      <w:pPr>
        <w:spacing w:after="0" w:line="8" w:lineRule="exact"/>
        <w:rPr>
          <w:sz w:val="20"/>
          <w:szCs w:val="20"/>
          <w:color w:val="auto"/>
        </w:rPr>
      </w:pPr>
    </w:p>
    <w:p>
      <w:pPr>
        <w:ind w:left="480"/>
        <w:spacing w:after="0"/>
        <w:tabs>
          <w:tab w:leader="none" w:pos="1440" w:val="left"/>
          <w:tab w:leader="none" w:pos="27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4"/>
          <w:szCs w:val="14"/>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4"/>
          <w:szCs w:val="14"/>
          <w:color w:val="auto"/>
        </w:rPr>
        <w:t>AGAINST</w:t>
      </w:r>
      <w:r>
        <w:rPr>
          <w:sz w:val="20"/>
          <w:szCs w:val="20"/>
          <w:color w:val="auto"/>
        </w:rPr>
        <w:tab/>
      </w:r>
      <w:r>
        <w:rPr>
          <w:rFonts w:ascii="Arial" w:cs="Arial" w:eastAsia="Arial" w:hAnsi="Arial"/>
          <w:sz w:val="17"/>
          <w:szCs w:val="17"/>
          <w:color w:val="auto"/>
        </w:rPr>
        <w:t xml:space="preserve">o </w:t>
      </w:r>
      <w:r>
        <w:rPr>
          <w:rFonts w:ascii="Arial" w:cs="Arial" w:eastAsia="Arial" w:hAnsi="Arial"/>
          <w:sz w:val="13"/>
          <w:szCs w:val="13"/>
          <w:color w:val="auto"/>
        </w:rPr>
        <w:t>ABSTAIN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  To consider and act upon any other matters that may properly come before the meeting and any adjournment thereof.</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that you vote “FOR” each of the nominees and the listed proposals.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This proxy, properly signed and dated, is revocable and will be voted as directed, but if no instructions are specified, this proxy will be voted “FOR” the nominees and the proposals listed. If any other business is presented at the Annual Meeting, including whether or not to adjourn the meeting, this proxy will be voted by the proxies in their best judgment. At the present time, the Board of Directors knows of no other business to be presented at the Annual Meeting. This proxy also confers discretionary authority on the Board of Directors to vote with respect to the election of any person as director where the nominees are unable to serve or for good cause will not serve and matters incident to the 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226695</wp:posOffset>
            </wp:positionV>
            <wp:extent cx="26073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280"/>
            <w:col w:w="7640"/>
          </w:cols>
          <w:pgMar w:left="820" w:top="627" w:right="819" w:bottom="1440" w:gutter="0" w:footer="0" w:header="0"/>
          <w:type w:val="continuous"/>
        </w:sectPr>
      </w:pPr>
    </w:p>
    <w:p>
      <w:pPr>
        <w:spacing w:after="0" w:line="165" w:lineRule="exact"/>
        <w:rPr>
          <w:sz w:val="20"/>
          <w:szCs w:val="20"/>
          <w:color w:val="auto"/>
        </w:rPr>
      </w:pPr>
    </w:p>
    <w:p>
      <w:pPr>
        <w:ind w:right="540"/>
        <w:spacing w:after="0" w:line="230" w:lineRule="auto"/>
        <w:rPr>
          <w:sz w:val="20"/>
          <w:szCs w:val="20"/>
          <w:color w:val="auto"/>
        </w:rPr>
      </w:pPr>
      <w:r>
        <w:rPr>
          <w:rFonts w:ascii="Arial" w:cs="Arial" w:eastAsia="Arial" w:hAnsi="Arial"/>
          <w:sz w:val="14"/>
          <w:szCs w:val="14"/>
          <w:color w:val="auto"/>
        </w:rPr>
        <w:t>SIGNATURE DATE SIGNATURE DATE Please sign exactly as your name appears on this card. When signing as attorney, executor, administrator, trustee or guardian, please give your full title. If shares are held</w:t>
      </w:r>
    </w:p>
    <w:p>
      <w:pPr>
        <w:spacing w:after="0" w:line="1"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jointly, each holder may sign but only one signature is required.</w:t>
      </w:r>
      <w:r>
        <w:rPr>
          <w:sz w:val="20"/>
          <w:szCs w:val="20"/>
          <w:color w:val="auto"/>
        </w:rPr>
        <w:tab/>
      </w:r>
      <w:r>
        <w:rPr>
          <w:rFonts w:ascii="Arial" w:cs="Arial" w:eastAsia="Arial" w:hAnsi="Arial"/>
          <w:sz w:val="13"/>
          <w:szCs w:val="13"/>
          <w:color w:val="auto"/>
        </w:rPr>
        <w:t>DETACH PROXY CARD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-3175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VOTING</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You can now submit your Proxy via the Internet and have your vote recorded.</w:t>
      </w:r>
    </w:p>
    <w:p>
      <w:pPr>
        <w:spacing w:after="0" w:line="225" w:lineRule="exact"/>
        <w:rPr>
          <w:sz w:val="20"/>
          <w:szCs w:val="20"/>
          <w:color w:val="auto"/>
        </w:rPr>
      </w:pPr>
    </w:p>
    <w:p>
      <w:pPr>
        <w:ind w:left="460" w:hanging="17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Why use the Internet</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 Internet Voting is timelier.</w:t>
      </w:r>
    </w:p>
    <w:p>
      <w:pPr>
        <w:spacing w:after="0" w:line="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 It saves the Company ever-rising costs of business reply postage.</w:t>
      </w:r>
    </w:p>
    <w:p>
      <w:pPr>
        <w:spacing w:after="0" w:line="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 You can change your vote by re-voting at any time.</w:t>
      </w:r>
    </w:p>
    <w:p>
      <w:pPr>
        <w:spacing w:after="0" w:line="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 It is simple and easy to use.</w:t>
      </w:r>
    </w:p>
    <w:p>
      <w:pPr>
        <w:spacing w:after="0" w:line="210" w:lineRule="exact"/>
        <w:rPr>
          <w:rFonts w:ascii="Arial" w:cs="Arial" w:eastAsia="Arial" w:hAnsi="Arial"/>
          <w:sz w:val="18"/>
          <w:szCs w:val="18"/>
          <w:color w:val="auto"/>
        </w:rPr>
      </w:pPr>
    </w:p>
    <w:p>
      <w:pPr>
        <w:ind w:left="460" w:hanging="17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Instructions for Internet Voting can be found on the reverse side.</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Internet Voting Website is: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http://www.ilstk.com - </w:t>
      </w:r>
      <w:r>
        <w:rPr>
          <w:rFonts w:ascii="Arial" w:cs="Arial" w:eastAsia="Arial" w:hAnsi="Arial"/>
          <w:sz w:val="18"/>
          <w:szCs w:val="18"/>
          <w:color w:val="auto"/>
        </w:rPr>
        <w:t>click on “I am a Shareholder”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select “Internet Voting”.</w:t>
      </w:r>
    </w:p>
    <w:sectPr>
      <w:pgSz w:w="11900" w:h="16838" w:orient="portrait"/>
      <w:cols w:equalWidth="0" w:num="1">
        <w:col w:w="10260"/>
      </w:cols>
      <w:pgMar w:left="820" w:top="627"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o"/>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lvl w:ilvl="1">
      <w:lvlJc w:val="left"/>
      <w:lvlText w:val="%2."/>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upp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decimal"/>
      <w:start w:val="3"/>
    </w:lvl>
  </w:abstractNum>
  <w:abstractNum w:abstractNumId="31">
    <w:nsid w:val="22221A70"/>
    <w:multiLevelType w:val="hybridMultilevel"/>
    <w:lvl w:ilvl="0">
      <w:lvlJc w:val="left"/>
      <w:lvlText w:val="%1."/>
      <w:numFmt w:val="decimal"/>
      <w:start w:val="4"/>
    </w:lvl>
  </w:abstractNum>
  <w:abstractNum w:abstractNumId="32">
    <w:nsid w:val="4516DDE9"/>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2019-12-10T08:35:29Z</dcterms:created>
  <dcterms:modified xsi:type="dcterms:W3CDTF">2019-12-10T08:35:29Z</dcterms:modified>
</cp:coreProperties>
</file>