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UNITED STATES</w:t>
      </w:r>
    </w:p>
    <w:p>
      <w:pPr>
        <w:spacing w:after="0" w:line="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SECURITIES AND EXCHANGE COMMISSION</w:t>
      </w:r>
    </w:p>
    <w:p>
      <w:pPr>
        <w:spacing w:after="0" w:line="1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Washington, D.C. 20549</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SCHEDULE 14A</w:t>
      </w: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Proxy Statement Pursuant to Section 14(a) of the Securities</w:t>
      </w:r>
    </w:p>
    <w:p>
      <w:pPr>
        <w:spacing w:after="0" w:line="229" w:lineRule="exact"/>
        <w:rPr>
          <w:sz w:val="20"/>
          <w:szCs w:val="20"/>
          <w:color w:val="auto"/>
        </w:rPr>
      </w:pPr>
    </w:p>
    <w:p>
      <w:pPr>
        <w:jc w:val="center"/>
        <w:ind w:right="-39"/>
        <w:spacing w:after="0"/>
        <w:tabs>
          <w:tab w:leader="none" w:pos="240" w:val="left"/>
        </w:tabs>
        <w:rPr>
          <w:sz w:val="20"/>
          <w:szCs w:val="20"/>
          <w:color w:val="auto"/>
        </w:rPr>
      </w:pPr>
      <w:r>
        <w:rPr>
          <w:rFonts w:ascii="Arial" w:cs="Arial" w:eastAsia="Arial" w:hAnsi="Arial"/>
          <w:sz w:val="17"/>
          <w:szCs w:val="17"/>
          <w:color w:val="auto"/>
        </w:rPr>
        <w:t>Exchange Act of 1934 (Amendment No.</w:t>
      </w:r>
      <w:r>
        <w:rPr>
          <w:sz w:val="20"/>
          <w:szCs w:val="20"/>
          <w:color w:val="auto"/>
        </w:rPr>
        <w:tab/>
      </w:r>
      <w:r>
        <w:rPr>
          <w:rFonts w:ascii="Arial" w:cs="Arial" w:eastAsia="Arial" w:hAnsi="Arial"/>
          <w:sz w:val="12"/>
          <w:szCs w:val="12"/>
          <w:color w:val="auto"/>
        </w:rPr>
        <w:t>)</w:t>
      </w:r>
    </w:p>
    <w:p>
      <w:pPr>
        <w:spacing w:after="0" w:line="196"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color w:val="auto"/>
        </w:rPr>
        <w:t>Filed by a Party other than the Registrant o</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Check the appropriate box:</w:t>
      </w:r>
    </w:p>
    <w:p>
      <w:pPr>
        <w:spacing w:after="0" w:line="200" w:lineRule="exact"/>
        <w:rPr>
          <w:sz w:val="20"/>
          <w:szCs w:val="20"/>
          <w:color w:val="auto"/>
        </w:rPr>
      </w:pPr>
    </w:p>
    <w:p>
      <w:pPr>
        <w:spacing w:after="0" w:line="241" w:lineRule="exact"/>
        <w:rPr>
          <w:sz w:val="20"/>
          <w:szCs w:val="20"/>
          <w:color w:val="auto"/>
        </w:rPr>
      </w:pPr>
    </w:p>
    <w:p>
      <w:pPr>
        <w:ind w:left="180" w:hanging="174"/>
        <w:spacing w:after="0"/>
        <w:tabs>
          <w:tab w:leader="none" w:pos="18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Preliminary Proxy Statement</w:t>
      </w:r>
    </w:p>
    <w:p>
      <w:pPr>
        <w:spacing w:after="0" w:line="24" w:lineRule="exact"/>
        <w:rPr>
          <w:rFonts w:ascii="Arial" w:cs="Arial" w:eastAsia="Arial" w:hAnsi="Arial"/>
          <w:sz w:val="17"/>
          <w:szCs w:val="17"/>
          <w:color w:val="auto"/>
        </w:rPr>
      </w:pPr>
    </w:p>
    <w:p>
      <w:pPr>
        <w:ind w:left="180" w:hanging="174"/>
        <w:spacing w:after="0"/>
        <w:tabs>
          <w:tab w:leader="none" w:pos="180"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Confidential, for Use of the Commission Only (as permitted by Rule 14a-6(e)(2))</w:t>
      </w:r>
    </w:p>
    <w:p>
      <w:pPr>
        <w:spacing w:after="0" w:line="16" w:lineRule="exact"/>
        <w:rPr>
          <w:rFonts w:ascii="Arial" w:cs="Arial" w:eastAsia="Arial" w:hAnsi="Arial"/>
          <w:sz w:val="17"/>
          <w:szCs w:val="17"/>
          <w:color w:val="auto"/>
        </w:rPr>
      </w:pPr>
    </w:p>
    <w:p>
      <w:pPr>
        <w:spacing w:after="0" w:line="196" w:lineRule="exact"/>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Definitive Proxy Statement</w:t>
      </w:r>
    </w:p>
    <w:p>
      <w:pPr>
        <w:spacing w:after="0" w:line="23" w:lineRule="exact"/>
        <w:rPr>
          <w:rFonts w:ascii="Arial" w:cs="Arial" w:eastAsia="Arial" w:hAnsi="Arial"/>
          <w:sz w:val="17"/>
          <w:szCs w:val="17"/>
          <w:color w:val="auto"/>
        </w:rPr>
      </w:pPr>
    </w:p>
    <w:p>
      <w:pPr>
        <w:ind w:left="180" w:hanging="174"/>
        <w:spacing w:after="0"/>
        <w:tabs>
          <w:tab w:leader="none" w:pos="180" w:val="left"/>
        </w:tabs>
        <w:numPr>
          <w:ilvl w:val="0"/>
          <w:numId w:val="1"/>
        </w:numPr>
        <w:rPr>
          <w:rFonts w:ascii="Arial" w:cs="Arial" w:eastAsia="Arial" w:hAnsi="Arial"/>
          <w:sz w:val="17"/>
          <w:szCs w:val="17"/>
          <w:color w:val="auto"/>
        </w:rPr>
      </w:pPr>
      <w:r>
        <w:rPr>
          <w:rFonts w:ascii="Arial" w:cs="Arial" w:eastAsia="Arial" w:hAnsi="Arial"/>
          <w:sz w:val="17"/>
          <w:szCs w:val="17"/>
          <w:color w:val="auto"/>
        </w:rPr>
        <w:t>Definitive Additional Materials</w:t>
      </w:r>
    </w:p>
    <w:p>
      <w:pPr>
        <w:spacing w:after="0" w:line="10" w:lineRule="exact"/>
        <w:rPr>
          <w:rFonts w:ascii="Arial" w:cs="Arial" w:eastAsia="Arial" w:hAnsi="Arial"/>
          <w:sz w:val="17"/>
          <w:szCs w:val="17"/>
          <w:color w:val="auto"/>
        </w:rPr>
      </w:pPr>
    </w:p>
    <w:p>
      <w:pPr>
        <w:ind w:left="180" w:hanging="174"/>
        <w:spacing w:after="0"/>
        <w:tabs>
          <w:tab w:leader="none" w:pos="180" w:val="left"/>
        </w:tabs>
        <w:numPr>
          <w:ilvl w:val="0"/>
          <w:numId w:val="1"/>
        </w:numPr>
        <w:rPr>
          <w:rFonts w:ascii="Arial" w:cs="Arial" w:eastAsia="Arial" w:hAnsi="Arial"/>
          <w:sz w:val="17"/>
          <w:szCs w:val="17"/>
          <w:color w:val="auto"/>
        </w:rPr>
      </w:pPr>
      <w:r>
        <w:rPr>
          <w:rFonts w:ascii="Arial" w:cs="Arial" w:eastAsia="Arial" w:hAnsi="Arial"/>
          <w:sz w:val="17"/>
          <w:szCs w:val="17"/>
          <w:color w:val="auto"/>
        </w:rPr>
        <w:t>Soliciting Material Pursuant to §240.14a-12</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UNITED COMMUNITY BANKS,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83185</wp:posOffset>
            </wp:positionV>
            <wp:extent cx="72656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5670" cy="8255"/>
                    </a:xfrm>
                    <a:prstGeom prst="rect">
                      <a:avLst/>
                    </a:prstGeom>
                    <a:noFill/>
                  </pic:spPr>
                </pic:pic>
              </a:graphicData>
            </a:graphic>
          </wp:anchor>
        </w:drawing>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150495</wp:posOffset>
            </wp:positionV>
            <wp:extent cx="72656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5670" cy="8255"/>
                    </a:xfrm>
                    <a:prstGeom prst="rect">
                      <a:avLst/>
                    </a:prstGeom>
                    <a:noFill/>
                  </pic:spPr>
                </pic:pic>
              </a:graphicData>
            </a:graphic>
          </wp:anchor>
        </w:drawing>
      </w:r>
    </w:p>
    <w:p>
      <w:pPr>
        <w:spacing w:after="0" w:line="328" w:lineRule="exact"/>
        <w:rPr>
          <w:sz w:val="20"/>
          <w:szCs w:val="20"/>
          <w:color w:val="auto"/>
        </w:rPr>
      </w:pPr>
    </w:p>
    <w:p>
      <w:pPr>
        <w:ind w:left="3220"/>
        <w:spacing w:after="0"/>
        <w:rPr>
          <w:sz w:val="20"/>
          <w:szCs w:val="20"/>
          <w:color w:val="auto"/>
        </w:rPr>
      </w:pPr>
      <w:r>
        <w:rPr>
          <w:rFonts w:ascii="Arial" w:cs="Arial" w:eastAsia="Arial" w:hAnsi="Arial"/>
          <w:sz w:val="17"/>
          <w:szCs w:val="17"/>
          <w:color w:val="auto"/>
        </w:rPr>
        <w:t>(Name of Person(s) Filing Proxy Statement, if other than the Registrant)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Payment of Filing Fee (Check the appropriate box):</w:t>
      </w:r>
    </w:p>
    <w:p>
      <w:pPr>
        <w:spacing w:after="0" w:line="229" w:lineRule="exact"/>
        <w:rPr>
          <w:sz w:val="20"/>
          <w:szCs w:val="20"/>
          <w:color w:val="auto"/>
        </w:rPr>
      </w:pPr>
    </w:p>
    <w:p>
      <w:pPr>
        <w:ind w:left="480" w:hanging="474"/>
        <w:spacing w:after="0"/>
        <w:tabs>
          <w:tab w:leader="none" w:pos="48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255" w:lineRule="exact"/>
        <w:rPr>
          <w:sz w:val="20"/>
          <w:szCs w:val="20"/>
          <w:color w:val="auto"/>
        </w:rPr>
      </w:pPr>
    </w:p>
    <w:p>
      <w:pPr>
        <w:ind w:left="480" w:hanging="474"/>
        <w:spacing w:after="0"/>
        <w:tabs>
          <w:tab w:leader="none" w:pos="480" w:val="left"/>
        </w:tabs>
        <w:numPr>
          <w:ilvl w:val="0"/>
          <w:numId w:val="3"/>
        </w:numPr>
        <w:rPr>
          <w:rFonts w:ascii="Arial" w:cs="Arial" w:eastAsia="Arial" w:hAnsi="Arial"/>
          <w:sz w:val="17"/>
          <w:szCs w:val="17"/>
          <w:color w:val="auto"/>
        </w:rPr>
      </w:pPr>
      <w:r>
        <w:rPr>
          <w:rFonts w:ascii="Arial" w:cs="Arial" w:eastAsia="Arial" w:hAnsi="Arial"/>
          <w:sz w:val="17"/>
          <w:szCs w:val="17"/>
          <w:color w:val="auto"/>
        </w:rPr>
        <w:t>Fee computed on table below per Exchange Act Rules 14a-6(i)(4) and 0-11.</w:t>
      </w:r>
    </w:p>
    <w:p>
      <w:pPr>
        <w:spacing w:after="0" w:line="228" w:lineRule="exact"/>
        <w:rPr>
          <w:rFonts w:ascii="Arial" w:cs="Arial" w:eastAsia="Arial" w:hAnsi="Arial"/>
          <w:sz w:val="17"/>
          <w:szCs w:val="17"/>
          <w:color w:val="auto"/>
        </w:rPr>
      </w:pPr>
    </w:p>
    <w:p>
      <w:pPr>
        <w:ind w:left="1040" w:hanging="818"/>
        <w:spacing w:after="0"/>
        <w:tabs>
          <w:tab w:leader="none" w:pos="1040" w:val="left"/>
        </w:tabs>
        <w:numPr>
          <w:ilvl w:val="1"/>
          <w:numId w:val="3"/>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200" w:lineRule="exact"/>
        <w:rPr>
          <w:rFonts w:ascii="Arial" w:cs="Arial" w:eastAsia="Arial" w:hAnsi="Arial"/>
          <w:sz w:val="17"/>
          <w:szCs w:val="17"/>
          <w:color w:val="auto"/>
        </w:rPr>
      </w:pPr>
    </w:p>
    <w:p>
      <w:pPr>
        <w:spacing w:after="0" w:line="254" w:lineRule="exact"/>
        <w:rPr>
          <w:rFonts w:ascii="Arial" w:cs="Arial" w:eastAsia="Arial" w:hAnsi="Arial"/>
          <w:sz w:val="17"/>
          <w:szCs w:val="17"/>
          <w:color w:val="auto"/>
        </w:rPr>
      </w:pPr>
    </w:p>
    <w:p>
      <w:pPr>
        <w:ind w:left="1040" w:hanging="818"/>
        <w:spacing w:after="0"/>
        <w:tabs>
          <w:tab w:leader="none" w:pos="1040" w:val="left"/>
        </w:tabs>
        <w:numPr>
          <w:ilvl w:val="1"/>
          <w:numId w:val="3"/>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200" w:lineRule="exact"/>
        <w:rPr>
          <w:rFonts w:ascii="Arial" w:cs="Arial" w:eastAsia="Arial" w:hAnsi="Arial"/>
          <w:sz w:val="17"/>
          <w:szCs w:val="17"/>
          <w:color w:val="auto"/>
        </w:rPr>
      </w:pPr>
    </w:p>
    <w:p>
      <w:pPr>
        <w:spacing w:after="0" w:line="254" w:lineRule="exact"/>
        <w:rPr>
          <w:rFonts w:ascii="Arial" w:cs="Arial" w:eastAsia="Arial" w:hAnsi="Arial"/>
          <w:sz w:val="17"/>
          <w:szCs w:val="17"/>
          <w:color w:val="auto"/>
        </w:rPr>
      </w:pPr>
    </w:p>
    <w:p>
      <w:pPr>
        <w:ind w:left="1040" w:right="120" w:hanging="818"/>
        <w:spacing w:after="0" w:line="290" w:lineRule="auto"/>
        <w:tabs>
          <w:tab w:leader="none" w:pos="1040" w:val="left"/>
        </w:tabs>
        <w:numPr>
          <w:ilvl w:val="1"/>
          <w:numId w:val="3"/>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389" w:lineRule="exact"/>
        <w:rPr>
          <w:rFonts w:ascii="Arial" w:cs="Arial" w:eastAsia="Arial" w:hAnsi="Arial"/>
          <w:sz w:val="17"/>
          <w:szCs w:val="17"/>
          <w:color w:val="auto"/>
        </w:rPr>
      </w:pPr>
    </w:p>
    <w:p>
      <w:pPr>
        <w:ind w:left="1040" w:hanging="818"/>
        <w:spacing w:after="0"/>
        <w:tabs>
          <w:tab w:leader="none" w:pos="1040" w:val="left"/>
        </w:tabs>
        <w:numPr>
          <w:ilvl w:val="1"/>
          <w:numId w:val="3"/>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200" w:lineRule="exact"/>
        <w:rPr>
          <w:rFonts w:ascii="Arial" w:cs="Arial" w:eastAsia="Arial" w:hAnsi="Arial"/>
          <w:sz w:val="17"/>
          <w:szCs w:val="17"/>
          <w:color w:val="auto"/>
        </w:rPr>
      </w:pPr>
    </w:p>
    <w:p>
      <w:pPr>
        <w:spacing w:after="0" w:line="254" w:lineRule="exact"/>
        <w:rPr>
          <w:rFonts w:ascii="Arial" w:cs="Arial" w:eastAsia="Arial" w:hAnsi="Arial"/>
          <w:sz w:val="17"/>
          <w:szCs w:val="17"/>
          <w:color w:val="auto"/>
        </w:rPr>
      </w:pPr>
    </w:p>
    <w:p>
      <w:pPr>
        <w:ind w:left="1040" w:hanging="818"/>
        <w:spacing w:after="0"/>
        <w:tabs>
          <w:tab w:leader="none" w:pos="1040" w:val="left"/>
        </w:tabs>
        <w:numPr>
          <w:ilvl w:val="1"/>
          <w:numId w:val="3"/>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200" w:lineRule="exact"/>
        <w:rPr>
          <w:rFonts w:ascii="Arial" w:cs="Arial" w:eastAsia="Arial" w:hAnsi="Arial"/>
          <w:sz w:val="17"/>
          <w:szCs w:val="17"/>
          <w:color w:val="auto"/>
        </w:rPr>
      </w:pPr>
    </w:p>
    <w:p>
      <w:pPr>
        <w:spacing w:after="0" w:line="254" w:lineRule="exact"/>
        <w:rPr>
          <w:rFonts w:ascii="Arial" w:cs="Arial" w:eastAsia="Arial" w:hAnsi="Arial"/>
          <w:sz w:val="17"/>
          <w:szCs w:val="17"/>
          <w:color w:val="auto"/>
        </w:rPr>
      </w:pPr>
    </w:p>
    <w:p>
      <w:pPr>
        <w:ind w:left="480" w:hanging="474"/>
        <w:spacing w:after="0"/>
        <w:tabs>
          <w:tab w:leader="none" w:pos="480" w:val="left"/>
        </w:tabs>
        <w:numPr>
          <w:ilvl w:val="0"/>
          <w:numId w:val="3"/>
        </w:numPr>
        <w:rPr>
          <w:rFonts w:ascii="Arial" w:cs="Arial" w:eastAsia="Arial" w:hAnsi="Arial"/>
          <w:sz w:val="17"/>
          <w:szCs w:val="17"/>
          <w:color w:val="auto"/>
        </w:rPr>
      </w:pPr>
      <w:r>
        <w:rPr>
          <w:rFonts w:ascii="Arial" w:cs="Arial" w:eastAsia="Arial" w:hAnsi="Arial"/>
          <w:sz w:val="17"/>
          <w:szCs w:val="17"/>
          <w:color w:val="auto"/>
        </w:rPr>
        <w:t>Fee paid previously with preliminary materials.</w:t>
      </w:r>
    </w:p>
    <w:p>
      <w:pPr>
        <w:spacing w:after="0" w:line="255" w:lineRule="exact"/>
        <w:rPr>
          <w:rFonts w:ascii="Arial" w:cs="Arial" w:eastAsia="Arial" w:hAnsi="Arial"/>
          <w:sz w:val="17"/>
          <w:szCs w:val="17"/>
          <w:color w:val="auto"/>
        </w:rPr>
      </w:pPr>
    </w:p>
    <w:p>
      <w:pPr>
        <w:ind w:left="480" w:hanging="474"/>
        <w:spacing w:after="0" w:line="290" w:lineRule="auto"/>
        <w:tabs>
          <w:tab w:leader="none" w:pos="48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4" w:lineRule="exact"/>
        <w:rPr>
          <w:rFonts w:ascii="Arial" w:cs="Arial" w:eastAsia="Arial" w:hAnsi="Arial"/>
          <w:sz w:val="17"/>
          <w:szCs w:val="17"/>
          <w:color w:val="auto"/>
        </w:rPr>
      </w:pPr>
    </w:p>
    <w:p>
      <w:pPr>
        <w:ind w:left="1040" w:hanging="818"/>
        <w:spacing w:after="0"/>
        <w:tabs>
          <w:tab w:leader="none" w:pos="1040" w:val="left"/>
        </w:tabs>
        <w:numPr>
          <w:ilvl w:val="1"/>
          <w:numId w:val="3"/>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200" w:lineRule="exact"/>
        <w:rPr>
          <w:rFonts w:ascii="Arial" w:cs="Arial" w:eastAsia="Arial" w:hAnsi="Arial"/>
          <w:sz w:val="17"/>
          <w:szCs w:val="17"/>
          <w:color w:val="auto"/>
        </w:rPr>
      </w:pPr>
    </w:p>
    <w:p>
      <w:pPr>
        <w:spacing w:after="0" w:line="254" w:lineRule="exact"/>
        <w:rPr>
          <w:rFonts w:ascii="Arial" w:cs="Arial" w:eastAsia="Arial" w:hAnsi="Arial"/>
          <w:sz w:val="17"/>
          <w:szCs w:val="17"/>
          <w:color w:val="auto"/>
        </w:rPr>
      </w:pPr>
    </w:p>
    <w:p>
      <w:pPr>
        <w:ind w:left="1040" w:hanging="818"/>
        <w:spacing w:after="0"/>
        <w:tabs>
          <w:tab w:leader="none" w:pos="1040" w:val="left"/>
        </w:tabs>
        <w:numPr>
          <w:ilvl w:val="1"/>
          <w:numId w:val="3"/>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200" w:lineRule="exact"/>
        <w:rPr>
          <w:rFonts w:ascii="Arial" w:cs="Arial" w:eastAsia="Arial" w:hAnsi="Arial"/>
          <w:sz w:val="17"/>
          <w:szCs w:val="17"/>
          <w:color w:val="auto"/>
        </w:rPr>
      </w:pPr>
    </w:p>
    <w:p>
      <w:pPr>
        <w:spacing w:after="0" w:line="254" w:lineRule="exact"/>
        <w:rPr>
          <w:rFonts w:ascii="Arial" w:cs="Arial" w:eastAsia="Arial" w:hAnsi="Arial"/>
          <w:sz w:val="17"/>
          <w:szCs w:val="17"/>
          <w:color w:val="auto"/>
        </w:rPr>
      </w:pPr>
    </w:p>
    <w:p>
      <w:pPr>
        <w:ind w:left="1040" w:hanging="818"/>
        <w:spacing w:after="0"/>
        <w:tabs>
          <w:tab w:leader="none" w:pos="1040" w:val="left"/>
        </w:tabs>
        <w:numPr>
          <w:ilvl w:val="1"/>
          <w:numId w:val="3"/>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-3561715</wp:posOffset>
            </wp:positionV>
            <wp:extent cx="6609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09080" cy="8255"/>
                    </a:xfrm>
                    <a:prstGeom prst="rect">
                      <a:avLst/>
                    </a:prstGeom>
                    <a:noFill/>
                  </pic:spPr>
                </pic:pic>
              </a:graphicData>
            </a:graphic>
          </wp:anchor>
        </w:drawing>
        <w:drawing>
          <wp:anchor simplePos="0" relativeHeight="251657728" behindDoc="1" locked="0" layoutInCell="0" allowOverlap="1">
            <wp:simplePos x="0" y="0"/>
            <wp:positionH relativeFrom="column">
              <wp:posOffset>643890</wp:posOffset>
            </wp:positionH>
            <wp:positionV relativeFrom="paragraph">
              <wp:posOffset>-3148965</wp:posOffset>
            </wp:positionV>
            <wp:extent cx="6609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09080" cy="8255"/>
                    </a:xfrm>
                    <a:prstGeom prst="rect">
                      <a:avLst/>
                    </a:prstGeom>
                    <a:noFill/>
                  </pic:spPr>
                </pic:pic>
              </a:graphicData>
            </a:graphic>
          </wp:anchor>
        </w:drawing>
        <w:drawing>
          <wp:anchor simplePos="0" relativeHeight="251657728" behindDoc="1" locked="0" layoutInCell="0" allowOverlap="1">
            <wp:simplePos x="0" y="0"/>
            <wp:positionH relativeFrom="column">
              <wp:posOffset>643890</wp:posOffset>
            </wp:positionH>
            <wp:positionV relativeFrom="paragraph">
              <wp:posOffset>-2601595</wp:posOffset>
            </wp:positionV>
            <wp:extent cx="6609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09080" cy="8255"/>
                    </a:xfrm>
                    <a:prstGeom prst="rect">
                      <a:avLst/>
                    </a:prstGeom>
                    <a:noFill/>
                  </pic:spPr>
                </pic:pic>
              </a:graphicData>
            </a:graphic>
          </wp:anchor>
        </w:drawing>
        <w:drawing>
          <wp:anchor simplePos="0" relativeHeight="251657728" behindDoc="1" locked="0" layoutInCell="0" allowOverlap="1">
            <wp:simplePos x="0" y="0"/>
            <wp:positionH relativeFrom="column">
              <wp:posOffset>643890</wp:posOffset>
            </wp:positionH>
            <wp:positionV relativeFrom="paragraph">
              <wp:posOffset>-2189480</wp:posOffset>
            </wp:positionV>
            <wp:extent cx="6609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09080" cy="8255"/>
                    </a:xfrm>
                    <a:prstGeom prst="rect">
                      <a:avLst/>
                    </a:prstGeom>
                    <a:noFill/>
                  </pic:spPr>
                </pic:pic>
              </a:graphicData>
            </a:graphic>
          </wp:anchor>
        </w:drawing>
        <w:drawing>
          <wp:anchor simplePos="0" relativeHeight="251657728" behindDoc="1" locked="0" layoutInCell="0" allowOverlap="1">
            <wp:simplePos x="0" y="0"/>
            <wp:positionH relativeFrom="column">
              <wp:posOffset>643890</wp:posOffset>
            </wp:positionH>
            <wp:positionV relativeFrom="paragraph">
              <wp:posOffset>-1776730</wp:posOffset>
            </wp:positionV>
            <wp:extent cx="6609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09080" cy="8255"/>
                    </a:xfrm>
                    <a:prstGeom prst="rect">
                      <a:avLst/>
                    </a:prstGeom>
                    <a:noFill/>
                  </pic:spPr>
                </pic:pic>
              </a:graphicData>
            </a:graphic>
          </wp:anchor>
        </w:drawing>
        <w:drawing>
          <wp:anchor simplePos="0" relativeHeight="251657728" behindDoc="1" locked="0" layoutInCell="0" allowOverlap="1">
            <wp:simplePos x="0" y="0"/>
            <wp:positionH relativeFrom="column">
              <wp:posOffset>643890</wp:posOffset>
            </wp:positionH>
            <wp:positionV relativeFrom="paragraph">
              <wp:posOffset>-673735</wp:posOffset>
            </wp:positionV>
            <wp:extent cx="66090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09080" cy="8255"/>
                    </a:xfrm>
                    <a:prstGeom prst="rect">
                      <a:avLst/>
                    </a:prstGeom>
                    <a:noFill/>
                  </pic:spPr>
                </pic:pic>
              </a:graphicData>
            </a:graphic>
          </wp:anchor>
        </w:drawing>
        <w:drawing>
          <wp:anchor simplePos="0" relativeHeight="251657728" behindDoc="1" locked="0" layoutInCell="0" allowOverlap="1">
            <wp:simplePos x="0" y="0"/>
            <wp:positionH relativeFrom="column">
              <wp:posOffset>643890</wp:posOffset>
            </wp:positionH>
            <wp:positionV relativeFrom="paragraph">
              <wp:posOffset>-260985</wp:posOffset>
            </wp:positionV>
            <wp:extent cx="66090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09080" cy="8255"/>
                    </a:xfrm>
                    <a:prstGeom prst="rect">
                      <a:avLst/>
                    </a:prstGeom>
                    <a:noFill/>
                  </pic:spPr>
                </pic:pic>
              </a:graphicData>
            </a:graphic>
          </wp:anchor>
        </w:drawing>
        <w:drawing>
          <wp:anchor simplePos="0" relativeHeight="251657728" behindDoc="1" locked="0" layoutInCell="0" allowOverlap="1">
            <wp:simplePos x="0" y="0"/>
            <wp:positionH relativeFrom="column">
              <wp:posOffset>643890</wp:posOffset>
            </wp:positionH>
            <wp:positionV relativeFrom="paragraph">
              <wp:posOffset>150495</wp:posOffset>
            </wp:positionV>
            <wp:extent cx="66090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09080" cy="8255"/>
                    </a:xfrm>
                    <a:prstGeom prst="rect">
                      <a:avLst/>
                    </a:prstGeom>
                    <a:noFill/>
                  </pic:spPr>
                </pic:pic>
              </a:graphicData>
            </a:graphic>
          </wp:anchor>
        </w:drawing>
      </w:r>
    </w:p>
    <w:p>
      <w:pPr>
        <w:sectPr>
          <w:pgSz w:w="11900" w:h="16838" w:orient="portrait"/>
          <w:cols w:equalWidth="0" w:num="1">
            <w:col w:w="11380"/>
          </w:cols>
          <w:pgMar w:left="240" w:top="122" w:right="279" w:bottom="923" w:gutter="0" w:footer="0" w:header="0"/>
        </w:sectPr>
      </w:pPr>
    </w:p>
    <w:p>
      <w:pPr>
        <w:spacing w:after="0" w:line="200" w:lineRule="exact"/>
        <w:rPr>
          <w:sz w:val="20"/>
          <w:szCs w:val="20"/>
          <w:color w:val="auto"/>
        </w:rPr>
      </w:pPr>
    </w:p>
    <w:p>
      <w:pPr>
        <w:spacing w:after="0" w:line="254" w:lineRule="exact"/>
        <w:rPr>
          <w:sz w:val="20"/>
          <w:szCs w:val="20"/>
          <w:color w:val="auto"/>
        </w:rPr>
      </w:pPr>
    </w:p>
    <w:p>
      <w:pPr>
        <w:ind w:left="1040" w:hanging="818"/>
        <w:spacing w:after="0"/>
        <w:tabs>
          <w:tab w:leader="none" w:pos="1040" w:val="left"/>
        </w:tabs>
        <w:numPr>
          <w:ilvl w:val="0"/>
          <w:numId w:val="4"/>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158115</wp:posOffset>
            </wp:positionV>
            <wp:extent cx="66090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090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299085</wp:posOffset>
            </wp:positionV>
            <wp:extent cx="725360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22" w:right="279" w:bottom="923"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200025</wp:posOffset>
            </wp:positionV>
            <wp:extent cx="2374265" cy="7575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74265" cy="757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March 24, 2005</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w:t>
      </w:r>
    </w:p>
    <w:p>
      <w:pPr>
        <w:spacing w:after="0" w:line="172" w:lineRule="exact"/>
        <w:rPr>
          <w:sz w:val="20"/>
          <w:szCs w:val="20"/>
          <w:color w:val="auto"/>
        </w:rPr>
      </w:pPr>
    </w:p>
    <w:p>
      <w:pPr>
        <w:ind w:firstLine="221"/>
        <w:spacing w:after="0" w:line="254" w:lineRule="auto"/>
        <w:rPr>
          <w:sz w:val="20"/>
          <w:szCs w:val="20"/>
          <w:color w:val="auto"/>
        </w:rPr>
      </w:pPr>
      <w:r>
        <w:rPr>
          <w:rFonts w:ascii="Arial" w:cs="Arial" w:eastAsia="Arial" w:hAnsi="Arial"/>
          <w:sz w:val="18"/>
          <w:szCs w:val="18"/>
          <w:color w:val="auto"/>
        </w:rPr>
        <w:t xml:space="preserve">I am pleased to announce </w:t>
      </w:r>
      <w:r>
        <w:rPr>
          <w:rFonts w:ascii="Arial" w:cs="Arial" w:eastAsia="Arial" w:hAnsi="Arial"/>
          <w:sz w:val="18"/>
          <w:szCs w:val="18"/>
          <w:b w:val="1"/>
          <w:bCs w:val="1"/>
          <w:color w:val="auto"/>
        </w:rPr>
        <w:t>our 2005 Annual Meeting of Shareholders of United Community Banks, Inc.</w:t>
      </w:r>
      <w:r>
        <w:rPr>
          <w:rFonts w:ascii="Arial" w:cs="Arial" w:eastAsia="Arial" w:hAnsi="Arial"/>
          <w:sz w:val="18"/>
          <w:szCs w:val="18"/>
          <w:color w:val="auto"/>
        </w:rPr>
        <w:t xml:space="preserve"> will be held on </w:t>
      </w:r>
      <w:r>
        <w:rPr>
          <w:rFonts w:ascii="Arial" w:cs="Arial" w:eastAsia="Arial" w:hAnsi="Arial"/>
          <w:sz w:val="18"/>
          <w:szCs w:val="18"/>
          <w:b w:val="1"/>
          <w:bCs w:val="1"/>
          <w:color w:val="auto"/>
        </w:rPr>
        <w:t>Wednesday, April 27, 2005</w:t>
      </w:r>
      <w:r>
        <w:rPr>
          <w:rFonts w:ascii="Arial" w:cs="Arial" w:eastAsia="Arial" w:hAnsi="Arial"/>
          <w:sz w:val="18"/>
          <w:szCs w:val="18"/>
          <w:color w:val="auto"/>
        </w:rPr>
        <w:t xml:space="preserve"> at </w:t>
      </w:r>
      <w:r>
        <w:rPr>
          <w:rFonts w:ascii="Arial" w:cs="Arial" w:eastAsia="Arial" w:hAnsi="Arial"/>
          <w:sz w:val="18"/>
          <w:szCs w:val="18"/>
          <w:b w:val="1"/>
          <w:bCs w:val="1"/>
          <w:color w:val="auto"/>
        </w:rPr>
        <w:t xml:space="preserve">Brasstown Valley Resort </w:t>
      </w:r>
      <w:r>
        <w:rPr>
          <w:rFonts w:ascii="Arial" w:cs="Arial" w:eastAsia="Arial" w:hAnsi="Arial"/>
          <w:sz w:val="18"/>
          <w:szCs w:val="18"/>
          <w:color w:val="auto"/>
        </w:rPr>
        <w:t>in</w:t>
      </w:r>
      <w:r>
        <w:rPr>
          <w:rFonts w:ascii="Arial" w:cs="Arial" w:eastAsia="Arial" w:hAnsi="Arial"/>
          <w:sz w:val="18"/>
          <w:szCs w:val="18"/>
          <w:b w:val="1"/>
          <w:bCs w:val="1"/>
          <w:color w:val="auto"/>
        </w:rPr>
        <w:t xml:space="preserve"> Young Harris, Georgia </w:t>
      </w:r>
      <w:r>
        <w:rPr>
          <w:rFonts w:ascii="Arial" w:cs="Arial" w:eastAsia="Arial" w:hAnsi="Arial"/>
          <w:sz w:val="18"/>
          <w:szCs w:val="18"/>
          <w:color w:val="auto"/>
        </w:rPr>
        <w:t>at</w:t>
      </w:r>
      <w:r>
        <w:rPr>
          <w:rFonts w:ascii="Arial" w:cs="Arial" w:eastAsia="Arial" w:hAnsi="Arial"/>
          <w:sz w:val="18"/>
          <w:szCs w:val="18"/>
          <w:b w:val="1"/>
          <w:bCs w:val="1"/>
          <w:color w:val="auto"/>
        </w:rPr>
        <w:t xml:space="preserve"> 2:00 p.m. </w:t>
      </w:r>
      <w:r>
        <w:rPr>
          <w:rFonts w:ascii="Arial" w:cs="Arial" w:eastAsia="Arial" w:hAnsi="Arial"/>
          <w:sz w:val="18"/>
          <w:szCs w:val="18"/>
          <w:color w:val="auto"/>
        </w:rPr>
        <w:t>I invite each of you to attend the meeting to learn of the progress United Community Banks</w:t>
      </w:r>
      <w:r>
        <w:rPr>
          <w:rFonts w:ascii="Arial" w:cs="Arial" w:eastAsia="Arial" w:hAnsi="Arial"/>
          <w:sz w:val="18"/>
          <w:szCs w:val="18"/>
          <w:b w:val="1"/>
          <w:bCs w:val="1"/>
          <w:color w:val="auto"/>
        </w:rPr>
        <w:t xml:space="preserve"> </w:t>
      </w:r>
      <w:r>
        <w:rPr>
          <w:rFonts w:ascii="Arial" w:cs="Arial" w:eastAsia="Arial" w:hAnsi="Arial"/>
          <w:sz w:val="18"/>
          <w:szCs w:val="18"/>
          <w:color w:val="auto"/>
        </w:rPr>
        <w:t>has made during the last year. You will have the opportunity to gather with many of our employees who work for you every day providing the highest level of customer service in the banking industry.</w:t>
      </w:r>
    </w:p>
    <w:p>
      <w:pPr>
        <w:spacing w:after="0" w:line="164" w:lineRule="exact"/>
        <w:rPr>
          <w:sz w:val="20"/>
          <w:szCs w:val="20"/>
          <w:color w:val="auto"/>
        </w:rPr>
      </w:pPr>
    </w:p>
    <w:p>
      <w:pPr>
        <w:jc w:val="both"/>
        <w:ind w:right="20" w:firstLine="221"/>
        <w:spacing w:after="0" w:line="255" w:lineRule="auto"/>
        <w:rPr>
          <w:sz w:val="20"/>
          <w:szCs w:val="20"/>
          <w:color w:val="auto"/>
        </w:rPr>
      </w:pPr>
      <w:r>
        <w:rPr>
          <w:rFonts w:ascii="Arial" w:cs="Arial" w:eastAsia="Arial" w:hAnsi="Arial"/>
          <w:sz w:val="18"/>
          <w:szCs w:val="18"/>
          <w:color w:val="auto"/>
        </w:rPr>
        <w:t>Enclosed with this letter is the proxy statement, proxy card, 2004 annual report to shareholders and 2004 Form 10-K filed with the Securities and Exchange Commission. The proxy statement contains information about actions to be taken at the meeting. We encourage you to take a few minutes to review the proxy statement so you will be aware of the matters to be considered at the meeting on April 27.</w:t>
      </w:r>
    </w:p>
    <w:p>
      <w:pPr>
        <w:spacing w:after="0" w:line="14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 xml:space="preserve">As a shareholder, </w:t>
      </w:r>
      <w:r>
        <w:rPr>
          <w:rFonts w:ascii="Arial" w:cs="Arial" w:eastAsia="Arial" w:hAnsi="Arial"/>
          <w:sz w:val="15"/>
          <w:szCs w:val="15"/>
          <w:i w:val="1"/>
          <w:iCs w:val="1"/>
          <w:color w:val="auto"/>
        </w:rPr>
        <w:t>your vote counts!</w:t>
      </w:r>
      <w:r>
        <w:rPr>
          <w:rFonts w:ascii="Arial" w:cs="Arial" w:eastAsia="Arial" w:hAnsi="Arial"/>
          <w:sz w:val="15"/>
          <w:szCs w:val="15"/>
          <w:color w:val="auto"/>
        </w:rPr>
        <w:t xml:space="preserve"> It is important that you </w:t>
      </w:r>
      <w:r>
        <w:rPr>
          <w:rFonts w:ascii="Arial" w:cs="Arial" w:eastAsia="Arial" w:hAnsi="Arial"/>
          <w:sz w:val="15"/>
          <w:szCs w:val="15"/>
          <w:b w:val="1"/>
          <w:bCs w:val="1"/>
          <w:color w:val="auto"/>
        </w:rPr>
        <w:t>please take a moment to complete and return your proxy card in the envelope provided</w:t>
      </w:r>
      <w:r>
        <w:rPr>
          <w:rFonts w:ascii="Arial" w:cs="Arial" w:eastAsia="Arial" w:hAnsi="Arial"/>
          <w:sz w:val="15"/>
          <w:szCs w:val="15"/>
          <w:color w:val="auto"/>
        </w:rPr>
        <w:t>.</w:t>
      </w:r>
    </w:p>
    <w:p>
      <w:pPr>
        <w:spacing w:after="0" w:line="218" w:lineRule="exact"/>
        <w:rPr>
          <w:sz w:val="20"/>
          <w:szCs w:val="20"/>
          <w:color w:val="auto"/>
        </w:rPr>
      </w:pPr>
    </w:p>
    <w:p>
      <w:pPr>
        <w:jc w:val="both"/>
        <w:ind w:right="40" w:firstLine="221"/>
        <w:spacing w:after="0" w:line="255" w:lineRule="auto"/>
        <w:rPr>
          <w:sz w:val="20"/>
          <w:szCs w:val="20"/>
          <w:color w:val="auto"/>
        </w:rPr>
      </w:pPr>
      <w:r>
        <w:rPr>
          <w:rFonts w:ascii="Arial" w:cs="Arial" w:eastAsia="Arial" w:hAnsi="Arial"/>
          <w:sz w:val="18"/>
          <w:szCs w:val="18"/>
          <w:color w:val="auto"/>
        </w:rPr>
        <w:t>I hope you will be able to attend the meeting on April 27 at Brasstown Valley Resort. It will be my pleasure to visit with you and to let you know first hand how important you are to United Community Banks. On behalf of the directors, management, and employees, I want you to know how much I appreciate the support, confidence, and trust you have placed in our company.</w:t>
      </w:r>
    </w:p>
    <w:p>
      <w:pPr>
        <w:spacing w:after="0" w:line="16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3994785</wp:posOffset>
            </wp:positionH>
            <wp:positionV relativeFrom="paragraph">
              <wp:posOffset>120650</wp:posOffset>
            </wp:positionV>
            <wp:extent cx="2138680" cy="7664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38680" cy="766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Jimmy C. Tallent,</w:t>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Enclosures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40"/>
          </w:cols>
          <w:pgMar w:left="240" w:top="413" w:right="4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2445385</wp:posOffset>
            </wp:positionH>
            <wp:positionV relativeFrom="paragraph">
              <wp:posOffset>200025</wp:posOffset>
            </wp:positionV>
            <wp:extent cx="2374265" cy="7575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74265" cy="757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63 HIGHWAY 515</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BLAIRSVILLE, GEORGIA 30514-0398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1990725</wp:posOffset>
            </wp:positionH>
            <wp:positionV relativeFrom="paragraph">
              <wp:posOffset>113665</wp:posOffset>
            </wp:positionV>
            <wp:extent cx="32753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75330" cy="8255"/>
                    </a:xfrm>
                    <a:prstGeom prst="rect">
                      <a:avLst/>
                    </a:prstGeom>
                    <a:noFill/>
                  </pic:spPr>
                </pic:pic>
              </a:graphicData>
            </a:graphic>
          </wp:anchor>
        </w:drawing>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1990725</wp:posOffset>
            </wp:positionH>
            <wp:positionV relativeFrom="paragraph">
              <wp:posOffset>132715</wp:posOffset>
            </wp:positionV>
            <wp:extent cx="32753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75330" cy="8255"/>
                    </a:xfrm>
                    <a:prstGeom prst="rect">
                      <a:avLst/>
                    </a:prstGeom>
                    <a:noFill/>
                  </pic:spPr>
                </pic:pic>
              </a:graphicData>
            </a:graphic>
          </wp:anchor>
        </w:drawing>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April 27, 2005</w:t>
      </w:r>
    </w:p>
    <w:p>
      <w:pPr>
        <w:spacing w:after="0" w:line="184" w:lineRule="exact"/>
        <w:rPr>
          <w:sz w:val="20"/>
          <w:szCs w:val="20"/>
          <w:color w:val="auto"/>
        </w:rPr>
      </w:pPr>
    </w:p>
    <w:p>
      <w:pPr>
        <w:ind w:firstLine="218"/>
        <w:spacing w:after="0" w:line="265" w:lineRule="auto"/>
        <w:rPr>
          <w:sz w:val="20"/>
          <w:szCs w:val="20"/>
          <w:color w:val="auto"/>
        </w:rPr>
      </w:pPr>
      <w:r>
        <w:rPr>
          <w:rFonts w:ascii="Arial" w:cs="Arial" w:eastAsia="Arial" w:hAnsi="Arial"/>
          <w:sz w:val="18"/>
          <w:szCs w:val="18"/>
          <w:color w:val="auto"/>
        </w:rPr>
        <w:t>The Annual Meeting of Shareholders of United Community Banks, Inc. will be held on April 27, 2005 at 2:00 p.m. at Brasstown Valley Resort, Young Harris, Georgia, for the following purposes:</w:t>
      </w:r>
    </w:p>
    <w:p>
      <w:pPr>
        <w:spacing w:after="0" w:line="179" w:lineRule="exact"/>
        <w:rPr>
          <w:sz w:val="20"/>
          <w:szCs w:val="20"/>
          <w:color w:val="auto"/>
        </w:rPr>
      </w:pPr>
    </w:p>
    <w:p>
      <w:pPr>
        <w:ind w:left="1020" w:right="480" w:hanging="444"/>
        <w:spacing w:after="0" w:line="265"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eleven directors to constitute the Board of Directors to serve until the next annual meeting and until their successors are elected and qualified.</w:t>
      </w:r>
    </w:p>
    <w:p>
      <w:pPr>
        <w:spacing w:after="0" w:line="179" w:lineRule="exact"/>
        <w:rPr>
          <w:rFonts w:ascii="Arial" w:cs="Arial" w:eastAsia="Arial" w:hAnsi="Arial"/>
          <w:sz w:val="18"/>
          <w:szCs w:val="18"/>
          <w:color w:val="auto"/>
        </w:rPr>
      </w:pPr>
    </w:p>
    <w:p>
      <w:pPr>
        <w:ind w:left="1020" w:hanging="444"/>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consider and act upon any other matters that may properly come before the meeting and any adjournment thereof.</w:t>
      </w:r>
    </w:p>
    <w:p>
      <w:pPr>
        <w:spacing w:after="0" w:line="217" w:lineRule="exact"/>
        <w:rPr>
          <w:sz w:val="20"/>
          <w:szCs w:val="20"/>
          <w:color w:val="auto"/>
        </w:rPr>
      </w:pPr>
    </w:p>
    <w:p>
      <w:pPr>
        <w:jc w:val="both"/>
        <w:ind w:right="60" w:firstLine="221"/>
        <w:spacing w:after="0" w:line="255" w:lineRule="auto"/>
        <w:rPr>
          <w:sz w:val="20"/>
          <w:szCs w:val="20"/>
          <w:color w:val="auto"/>
        </w:rPr>
      </w:pPr>
      <w:r>
        <w:rPr>
          <w:rFonts w:ascii="Arial" w:cs="Arial" w:eastAsia="Arial" w:hAnsi="Arial"/>
          <w:sz w:val="18"/>
          <w:szCs w:val="18"/>
          <w:color w:val="auto"/>
        </w:rPr>
        <w:t>Only shareholders of record at the close of business on March 9, 2005 will be entitled to notice of, and to vote at, the meeting. A proxy statement and a proxy solicited by the Board of Directors are enclosed herewith. Please sign, date, and return the proxy promptly in the enclosed business reply envelope. If you attend the meeting you may, if you wish, withdraw your proxy and vote in person.</w:t>
      </w:r>
    </w:p>
    <w:p>
      <w:pPr>
        <w:spacing w:after="0" w:line="18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3489325</wp:posOffset>
            </wp:positionH>
            <wp:positionV relativeFrom="paragraph">
              <wp:posOffset>146050</wp:posOffset>
            </wp:positionV>
            <wp:extent cx="2138680" cy="7664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38680" cy="766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Jimmy C. Tallent,</w:t>
      </w:r>
    </w:p>
    <w:p>
      <w:pPr>
        <w:spacing w:after="0" w:line="16" w:lineRule="exact"/>
        <w:rPr>
          <w:sz w:val="20"/>
          <w:szCs w:val="20"/>
          <w:color w:val="auto"/>
        </w:rPr>
      </w:pPr>
    </w:p>
    <w:p>
      <w:pPr>
        <w:ind w:left="550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March 24,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313295" cy="8293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13295" cy="829310"/>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jc w:val="center"/>
        <w:ind w:left="560" w:right="1820"/>
        <w:spacing w:after="0" w:line="259" w:lineRule="auto"/>
        <w:rPr>
          <w:sz w:val="20"/>
          <w:szCs w:val="20"/>
          <w:color w:val="auto"/>
        </w:rPr>
      </w:pPr>
      <w:r>
        <w:rPr>
          <w:rFonts w:ascii="Arial" w:cs="Arial" w:eastAsia="Arial" w:hAnsi="Arial"/>
          <w:sz w:val="18"/>
          <w:szCs w:val="18"/>
          <w:b w:val="1"/>
          <w:bCs w:val="1"/>
          <w:color w:val="auto"/>
        </w:rPr>
        <w:t>WHETHER OR NOT YOU EXPECT TO BE PRESENT AT THE ANNUAL MEETING, PLEASE COMPLETE AND RETURN THE ENCLOSED PROXY PROMPTLY SO THAT YOUR VOTE MAY BE RECORDED AT THE MEETING IF YOU DO NOT ATTEND.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586105</wp:posOffset>
            </wp:positionV>
            <wp:extent cx="725360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180" w:type="dxa"/>
            <w:vAlign w:val="bottom"/>
            <w:gridSpan w:val="28"/>
            <w:vMerge w:val="restart"/>
          </w:tcPr>
          <w:p>
            <w:pPr>
              <w:spacing w:after="0"/>
              <w:rPr>
                <w:rFonts w:ascii="Arial" w:cs="Arial" w:eastAsia="Arial" w:hAnsi="Arial"/>
                <w:sz w:val="18"/>
                <w:szCs w:val="18"/>
                <w:b w:val="1"/>
                <w:bCs w:val="1"/>
                <w:color w:val="0000EE"/>
                <w:w w:val="98"/>
              </w:rPr>
            </w:pPr>
            <w:hyperlink w:anchor="page7">
              <w:r>
                <w:rPr>
                  <w:rFonts w:ascii="Arial" w:cs="Arial" w:eastAsia="Arial" w:hAnsi="Arial"/>
                  <w:sz w:val="18"/>
                  <w:szCs w:val="18"/>
                  <w:b w:val="1"/>
                  <w:bCs w:val="1"/>
                  <w:color w:val="0000EE"/>
                  <w:w w:val="98"/>
                </w:rPr>
                <w:t>QUESTIONS AND ANSWERS ABOUT THE ANNUAL MEETING</w:t>
              </w:r>
            </w:hyperlink>
          </w:p>
        </w:tc>
        <w:tc>
          <w:tcPr>
            <w:tcW w:w="5440" w:type="dxa"/>
            <w:vAlign w:val="bottom"/>
            <w:gridSpan w:val="3"/>
            <w:vMerge w:val="restart"/>
          </w:tcPr>
          <w:p>
            <w:pPr>
              <w:spacing w:after="0"/>
              <w:rPr>
                <w:sz w:val="14"/>
                <w:szCs w:val="14"/>
                <w:color w:val="auto"/>
              </w:rPr>
            </w:pPr>
          </w:p>
        </w:tc>
        <w:tc>
          <w:tcPr>
            <w:tcW w:w="720" w:type="dxa"/>
            <w:vAlign w:val="bottom"/>
            <w:gridSpan w:val="2"/>
          </w:tcPr>
          <w:p>
            <w:pPr>
              <w:ind w:left="2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1"/>
        </w:trPr>
        <w:tc>
          <w:tcPr>
            <w:tcW w:w="5180" w:type="dxa"/>
            <w:vAlign w:val="bottom"/>
            <w:tcBorders>
              <w:bottom w:val="single" w:sz="8" w:color="0000EE"/>
            </w:tcBorders>
            <w:gridSpan w:val="28"/>
            <w:vMerge w:val="continue"/>
          </w:tcPr>
          <w:p>
            <w:pPr>
              <w:spacing w:after="0"/>
              <w:rPr>
                <w:sz w:val="14"/>
                <w:szCs w:val="14"/>
                <w:color w:val="auto"/>
              </w:rPr>
            </w:pPr>
          </w:p>
        </w:tc>
        <w:tc>
          <w:tcPr>
            <w:tcW w:w="5440" w:type="dxa"/>
            <w:vAlign w:val="bottom"/>
            <w:gridSpan w:val="3"/>
            <w:vMerge w:val="continue"/>
          </w:tcPr>
          <w:p>
            <w:pPr>
              <w:spacing w:after="0"/>
              <w:rPr>
                <w:sz w:val="14"/>
                <w:szCs w:val="14"/>
                <w:color w:val="auto"/>
              </w:rPr>
            </w:pPr>
          </w:p>
        </w:tc>
        <w:tc>
          <w:tcPr>
            <w:tcW w:w="700" w:type="dxa"/>
            <w:vAlign w:val="bottom"/>
            <w:tcBorders>
              <w:top w:val="single" w:sz="8" w:color="auto"/>
            </w:tcBorders>
          </w:tcPr>
          <w:p>
            <w:pPr>
              <w:jc w:val="right"/>
              <w:spacing w:after="0" w:line="166" w:lineRule="exact"/>
              <w:rPr>
                <w:sz w:val="20"/>
                <w:szCs w:val="20"/>
                <w:color w:val="auto"/>
              </w:rPr>
            </w:pPr>
            <w:r>
              <w:rPr>
                <w:rFonts w:ascii="Arial" w:cs="Arial" w:eastAsia="Arial" w:hAnsi="Arial"/>
                <w:sz w:val="18"/>
                <w:szCs w:val="18"/>
                <w:b w:val="1"/>
                <w:bCs w:val="1"/>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10420" w:type="dxa"/>
            <w:vAlign w:val="bottom"/>
            <w:gridSpan w:val="30"/>
          </w:tcPr>
          <w:p>
            <w:pPr>
              <w:spacing w:after="0" w:line="192" w:lineRule="exact"/>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What is the purpose of the annual meeting?</w:t>
              </w:r>
            </w:hyperlink>
          </w:p>
        </w:tc>
        <w:tc>
          <w:tcPr>
            <w:tcW w:w="720" w:type="dxa"/>
            <w:vAlign w:val="bottom"/>
            <w:gridSpan w:val="2"/>
          </w:tcPr>
          <w:p>
            <w:pPr>
              <w:jc w:val="right"/>
              <w:ind w:right="20"/>
              <w:spacing w:after="0" w:line="192" w:lineRule="exact"/>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1800" w:type="dxa"/>
            <w:vAlign w:val="bottom"/>
            <w:tcBorders>
              <w:top w:val="single" w:sz="8" w:color="0000EE"/>
              <w:bottom w:val="single" w:sz="8" w:color="0000EE"/>
            </w:tcBorders>
            <w:gridSpan w:val="7"/>
          </w:tcPr>
          <w:p>
            <w:pPr>
              <w:spacing w:after="0" w:line="192" w:lineRule="exact"/>
              <w:rPr>
                <w:rFonts w:ascii="Arial" w:cs="Arial" w:eastAsia="Arial" w:hAnsi="Arial"/>
                <w:sz w:val="18"/>
                <w:szCs w:val="18"/>
                <w:b w:val="1"/>
                <w:bCs w:val="1"/>
                <w:color w:val="0000EE"/>
                <w:w w:val="86"/>
              </w:rPr>
            </w:pPr>
            <w:hyperlink w:anchor="page7">
              <w:r>
                <w:rPr>
                  <w:rFonts w:ascii="Arial" w:cs="Arial" w:eastAsia="Arial" w:hAnsi="Arial"/>
                  <w:sz w:val="18"/>
                  <w:szCs w:val="18"/>
                  <w:b w:val="1"/>
                  <w:bCs w:val="1"/>
                  <w:color w:val="0000EE"/>
                  <w:w w:val="86"/>
                </w:rPr>
                <w:t>Who is entitled to vote?</w:t>
              </w:r>
            </w:hyperlink>
          </w:p>
        </w:tc>
        <w:tc>
          <w:tcPr>
            <w:tcW w:w="1480" w:type="dxa"/>
            <w:vAlign w:val="bottom"/>
            <w:tcBorders>
              <w:top w:val="single" w:sz="8" w:color="0000EE"/>
            </w:tcBorders>
            <w:gridSpan w:val="10"/>
          </w:tcPr>
          <w:p>
            <w:pPr>
              <w:spacing w:after="0"/>
              <w:rPr>
                <w:sz w:val="16"/>
                <w:szCs w:val="16"/>
                <w:color w:val="auto"/>
              </w:rPr>
            </w:pPr>
          </w:p>
        </w:tc>
        <w:tc>
          <w:tcPr>
            <w:tcW w:w="7140" w:type="dxa"/>
            <w:vAlign w:val="bottom"/>
            <w:gridSpan w:val="13"/>
          </w:tcPr>
          <w:p>
            <w:pPr>
              <w:spacing w:after="0"/>
              <w:rPr>
                <w:sz w:val="16"/>
                <w:szCs w:val="16"/>
                <w:color w:val="auto"/>
              </w:rPr>
            </w:pPr>
          </w:p>
        </w:tc>
        <w:tc>
          <w:tcPr>
            <w:tcW w:w="720" w:type="dxa"/>
            <w:vAlign w:val="bottom"/>
            <w:gridSpan w:val="2"/>
          </w:tcPr>
          <w:p>
            <w:pPr>
              <w:jc w:val="right"/>
              <w:ind w:right="20"/>
              <w:spacing w:after="0" w:line="192" w:lineRule="exact"/>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10420" w:type="dxa"/>
            <w:vAlign w:val="bottom"/>
            <w:gridSpan w:val="30"/>
          </w:tcPr>
          <w:p>
            <w:pPr>
              <w:spacing w:after="0" w:line="192" w:lineRule="exact"/>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How do I vote?</w:t>
              </w:r>
            </w:hyperlink>
          </w:p>
        </w:tc>
        <w:tc>
          <w:tcPr>
            <w:tcW w:w="720" w:type="dxa"/>
            <w:vAlign w:val="bottom"/>
            <w:gridSpan w:val="2"/>
          </w:tcPr>
          <w:p>
            <w:pPr>
              <w:jc w:val="right"/>
              <w:ind w:right="20"/>
              <w:spacing w:after="0" w:line="192" w:lineRule="exact"/>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10420" w:type="dxa"/>
            <w:vAlign w:val="bottom"/>
            <w:gridSpan w:val="30"/>
          </w:tcPr>
          <w:p>
            <w:pPr>
              <w:spacing w:after="0" w:line="192" w:lineRule="exact"/>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What are the quorum and voting requirements?</w:t>
              </w:r>
            </w:hyperlink>
          </w:p>
        </w:tc>
        <w:tc>
          <w:tcPr>
            <w:tcW w:w="720" w:type="dxa"/>
            <w:vAlign w:val="bottom"/>
            <w:gridSpan w:val="2"/>
          </w:tcPr>
          <w:p>
            <w:pPr>
              <w:jc w:val="right"/>
              <w:ind w:right="20"/>
              <w:spacing w:after="0" w:line="192" w:lineRule="exact"/>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3620" w:type="dxa"/>
            <w:vAlign w:val="bottom"/>
            <w:tcBorders>
              <w:top w:val="single" w:sz="8" w:color="0000EE"/>
            </w:tcBorders>
            <w:gridSpan w:val="21"/>
          </w:tcPr>
          <w:p>
            <w:pPr>
              <w:spacing w:after="0" w:line="192" w:lineRule="exact"/>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How are votes counted?</w:t>
              </w:r>
            </w:hyperlink>
          </w:p>
        </w:tc>
        <w:tc>
          <w:tcPr>
            <w:tcW w:w="6800" w:type="dxa"/>
            <w:vAlign w:val="bottom"/>
            <w:gridSpan w:val="9"/>
          </w:tcPr>
          <w:p>
            <w:pPr>
              <w:spacing w:after="0"/>
              <w:rPr>
                <w:sz w:val="16"/>
                <w:szCs w:val="16"/>
                <w:color w:val="auto"/>
              </w:rPr>
            </w:pPr>
          </w:p>
        </w:tc>
        <w:tc>
          <w:tcPr>
            <w:tcW w:w="720" w:type="dxa"/>
            <w:vAlign w:val="bottom"/>
            <w:gridSpan w:val="2"/>
          </w:tcPr>
          <w:p>
            <w:pPr>
              <w:jc w:val="right"/>
              <w:ind w:right="20"/>
              <w:spacing w:after="0" w:line="192" w:lineRule="exact"/>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4080" w:type="dxa"/>
            <w:vAlign w:val="bottom"/>
            <w:tcBorders>
              <w:bottom w:val="single" w:sz="8" w:color="0000EE"/>
            </w:tcBorders>
            <w:gridSpan w:val="22"/>
          </w:tcPr>
          <w:p>
            <w:pPr>
              <w:spacing w:after="0" w:line="192" w:lineRule="exact"/>
              <w:rPr>
                <w:rFonts w:ascii="Arial" w:cs="Arial" w:eastAsia="Arial" w:hAnsi="Arial"/>
                <w:sz w:val="18"/>
                <w:szCs w:val="18"/>
                <w:b w:val="1"/>
                <w:bCs w:val="1"/>
                <w:color w:val="0000EE"/>
                <w:w w:val="88"/>
              </w:rPr>
            </w:pPr>
            <w:hyperlink w:anchor="page8">
              <w:r>
                <w:rPr>
                  <w:rFonts w:ascii="Arial" w:cs="Arial" w:eastAsia="Arial" w:hAnsi="Arial"/>
                  <w:sz w:val="18"/>
                  <w:szCs w:val="18"/>
                  <w:b w:val="1"/>
                  <w:bCs w:val="1"/>
                  <w:color w:val="0000EE"/>
                  <w:w w:val="88"/>
                </w:rPr>
                <w:t>Will other matters be voted on at the annual meeting?</w:t>
              </w:r>
            </w:hyperlink>
          </w:p>
        </w:tc>
        <w:tc>
          <w:tcPr>
            <w:tcW w:w="6340" w:type="dxa"/>
            <w:vAlign w:val="bottom"/>
            <w:gridSpan w:val="8"/>
          </w:tcPr>
          <w:p>
            <w:pPr>
              <w:spacing w:after="0"/>
              <w:rPr>
                <w:sz w:val="16"/>
                <w:szCs w:val="16"/>
                <w:color w:val="auto"/>
              </w:rPr>
            </w:pPr>
          </w:p>
        </w:tc>
        <w:tc>
          <w:tcPr>
            <w:tcW w:w="720" w:type="dxa"/>
            <w:vAlign w:val="bottom"/>
            <w:gridSpan w:val="2"/>
          </w:tcPr>
          <w:p>
            <w:pPr>
              <w:jc w:val="right"/>
              <w:ind w:right="20"/>
              <w:spacing w:after="0" w:line="192" w:lineRule="exact"/>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2780" w:type="dxa"/>
            <w:vAlign w:val="bottom"/>
            <w:tcBorders>
              <w:bottom w:val="single" w:sz="8" w:color="0000EE"/>
            </w:tcBorders>
            <w:gridSpan w:val="15"/>
          </w:tcPr>
          <w:p>
            <w:pPr>
              <w:spacing w:after="0" w:line="192" w:lineRule="exact"/>
              <w:rPr>
                <w:rFonts w:ascii="Arial" w:cs="Arial" w:eastAsia="Arial" w:hAnsi="Arial"/>
                <w:sz w:val="18"/>
                <w:szCs w:val="18"/>
                <w:b w:val="1"/>
                <w:bCs w:val="1"/>
                <w:color w:val="0000EE"/>
                <w:w w:val="88"/>
              </w:rPr>
            </w:pPr>
            <w:hyperlink w:anchor="page9">
              <w:r>
                <w:rPr>
                  <w:rFonts w:ascii="Arial" w:cs="Arial" w:eastAsia="Arial" w:hAnsi="Arial"/>
                  <w:sz w:val="18"/>
                  <w:szCs w:val="18"/>
                  <w:b w:val="1"/>
                  <w:bCs w:val="1"/>
                  <w:color w:val="0000EE"/>
                  <w:w w:val="88"/>
                </w:rPr>
                <w:t>Can I revoke my proxy instructions?</w:t>
              </w:r>
            </w:hyperlink>
          </w:p>
        </w:tc>
        <w:tc>
          <w:tcPr>
            <w:tcW w:w="7640" w:type="dxa"/>
            <w:vAlign w:val="bottom"/>
            <w:gridSpan w:val="15"/>
          </w:tcPr>
          <w:p>
            <w:pPr>
              <w:spacing w:after="0"/>
              <w:rPr>
                <w:sz w:val="16"/>
                <w:szCs w:val="16"/>
                <w:color w:val="auto"/>
              </w:rPr>
            </w:pPr>
          </w:p>
        </w:tc>
        <w:tc>
          <w:tcPr>
            <w:tcW w:w="720" w:type="dxa"/>
            <w:vAlign w:val="bottom"/>
            <w:gridSpan w:val="2"/>
          </w:tcPr>
          <w:p>
            <w:pPr>
              <w:jc w:val="right"/>
              <w:ind w:right="20"/>
              <w:spacing w:after="0" w:line="192" w:lineRule="exact"/>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10420" w:type="dxa"/>
            <w:vAlign w:val="bottom"/>
            <w:gridSpan w:val="30"/>
          </w:tcPr>
          <w:p>
            <w:pPr>
              <w:spacing w:after="0" w:line="192" w:lineRule="exact"/>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What other information should I review before voting?</w:t>
              </w:r>
            </w:hyperlink>
          </w:p>
        </w:tc>
        <w:tc>
          <w:tcPr>
            <w:tcW w:w="720" w:type="dxa"/>
            <w:vAlign w:val="bottom"/>
            <w:gridSpan w:val="2"/>
          </w:tcPr>
          <w:p>
            <w:pPr>
              <w:jc w:val="right"/>
              <w:ind w:right="20"/>
              <w:spacing w:after="0" w:line="192" w:lineRule="exact"/>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0620" w:type="dxa"/>
            <w:vAlign w:val="bottom"/>
            <w:gridSpan w:val="31"/>
          </w:tcPr>
          <w:p>
            <w:pPr>
              <w:spacing w:after="0" w:line="192" w:lineRule="exact"/>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ELECTION OF DIRECTORS</w:t>
              </w:r>
            </w:hyperlink>
          </w:p>
        </w:tc>
        <w:tc>
          <w:tcPr>
            <w:tcW w:w="720" w:type="dxa"/>
            <w:vAlign w:val="bottom"/>
            <w:gridSpan w:val="2"/>
          </w:tcPr>
          <w:p>
            <w:pPr>
              <w:jc w:val="right"/>
              <w:ind w:right="20"/>
              <w:spacing w:after="0" w:line="192" w:lineRule="exact"/>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192"/>
        </w:trPr>
        <w:tc>
          <w:tcPr>
            <w:tcW w:w="200" w:type="dxa"/>
            <w:vAlign w:val="bottom"/>
            <w:tcBorders>
              <w:top w:val="single" w:sz="8" w:color="0000EE"/>
            </w:tcBorders>
          </w:tcPr>
          <w:p>
            <w:pPr>
              <w:spacing w:after="0"/>
              <w:rPr>
                <w:sz w:val="16"/>
                <w:szCs w:val="16"/>
                <w:color w:val="auto"/>
              </w:rPr>
            </w:pPr>
          </w:p>
        </w:tc>
        <w:tc>
          <w:tcPr>
            <w:tcW w:w="2120" w:type="dxa"/>
            <w:vAlign w:val="bottom"/>
            <w:tcBorders>
              <w:top w:val="single" w:sz="8" w:color="0000EE"/>
            </w:tcBorders>
            <w:gridSpan w:val="10"/>
          </w:tcPr>
          <w:p>
            <w:pPr>
              <w:spacing w:after="0" w:line="192" w:lineRule="exact"/>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Introduction</w:t>
              </w:r>
            </w:hyperlink>
          </w:p>
        </w:tc>
        <w:tc>
          <w:tcPr>
            <w:tcW w:w="8300" w:type="dxa"/>
            <w:vAlign w:val="bottom"/>
            <w:gridSpan w:val="20"/>
          </w:tcPr>
          <w:p>
            <w:pPr>
              <w:spacing w:after="0"/>
              <w:rPr>
                <w:sz w:val="16"/>
                <w:szCs w:val="16"/>
                <w:color w:val="auto"/>
              </w:rPr>
            </w:pPr>
          </w:p>
        </w:tc>
        <w:tc>
          <w:tcPr>
            <w:tcW w:w="720" w:type="dxa"/>
            <w:vAlign w:val="bottom"/>
            <w:gridSpan w:val="2"/>
          </w:tcPr>
          <w:p>
            <w:pPr>
              <w:jc w:val="right"/>
              <w:ind w:right="20"/>
              <w:spacing w:after="0" w:line="192" w:lineRule="exact"/>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3500" w:type="dxa"/>
            <w:vAlign w:val="bottom"/>
            <w:tcBorders>
              <w:bottom w:val="single" w:sz="8" w:color="0000EE"/>
            </w:tcBorders>
            <w:gridSpan w:val="20"/>
          </w:tcPr>
          <w:p>
            <w:pPr>
              <w:spacing w:after="0" w:line="192" w:lineRule="exact"/>
              <w:rPr>
                <w:rFonts w:ascii="Arial" w:cs="Arial" w:eastAsia="Arial" w:hAnsi="Arial"/>
                <w:sz w:val="18"/>
                <w:szCs w:val="18"/>
                <w:b w:val="1"/>
                <w:bCs w:val="1"/>
                <w:color w:val="0000EE"/>
                <w:w w:val="89"/>
              </w:rPr>
            </w:pPr>
            <w:hyperlink w:anchor="page10">
              <w:r>
                <w:rPr>
                  <w:rFonts w:ascii="Arial" w:cs="Arial" w:eastAsia="Arial" w:hAnsi="Arial"/>
                  <w:sz w:val="18"/>
                  <w:szCs w:val="18"/>
                  <w:b w:val="1"/>
                  <w:bCs w:val="1"/>
                  <w:color w:val="0000EE"/>
                  <w:w w:val="89"/>
                </w:rPr>
                <w:t>Information Regarding Nominees for Director</w:t>
              </w:r>
            </w:hyperlink>
          </w:p>
        </w:tc>
        <w:tc>
          <w:tcPr>
            <w:tcW w:w="6920" w:type="dxa"/>
            <w:vAlign w:val="bottom"/>
            <w:gridSpan w:val="10"/>
          </w:tcPr>
          <w:p>
            <w:pPr>
              <w:spacing w:after="0"/>
              <w:rPr>
                <w:sz w:val="16"/>
                <w:szCs w:val="16"/>
                <w:color w:val="auto"/>
              </w:rPr>
            </w:pPr>
          </w:p>
        </w:tc>
        <w:tc>
          <w:tcPr>
            <w:tcW w:w="720" w:type="dxa"/>
            <w:vAlign w:val="bottom"/>
            <w:gridSpan w:val="2"/>
          </w:tcPr>
          <w:p>
            <w:pPr>
              <w:jc w:val="right"/>
              <w:ind w:right="20"/>
              <w:spacing w:after="0" w:line="192" w:lineRule="exact"/>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10420" w:type="dxa"/>
            <w:vAlign w:val="bottom"/>
            <w:gridSpan w:val="30"/>
          </w:tcPr>
          <w:p>
            <w:pPr>
              <w:spacing w:after="0" w:line="192" w:lineRule="exact"/>
              <w:rPr>
                <w:rFonts w:ascii="Arial" w:cs="Arial" w:eastAsia="Arial" w:hAnsi="Arial"/>
                <w:sz w:val="18"/>
                <w:szCs w:val="18"/>
                <w:b w:val="1"/>
                <w:bCs w:val="1"/>
                <w:color w:val="0000EE"/>
              </w:rPr>
            </w:pPr>
            <w:hyperlink w:anchor="page11">
              <w:r>
                <w:rPr>
                  <w:rFonts w:ascii="Arial" w:cs="Arial" w:eastAsia="Arial" w:hAnsi="Arial"/>
                  <w:sz w:val="18"/>
                  <w:szCs w:val="18"/>
                  <w:b w:val="1"/>
                  <w:bCs w:val="1"/>
                  <w:color w:val="0000EE"/>
                </w:rPr>
                <w:t>Director Emeritus</w:t>
              </w:r>
            </w:hyperlink>
          </w:p>
        </w:tc>
        <w:tc>
          <w:tcPr>
            <w:tcW w:w="720" w:type="dxa"/>
            <w:vAlign w:val="bottom"/>
            <w:gridSpan w:val="2"/>
          </w:tcPr>
          <w:p>
            <w:pPr>
              <w:jc w:val="right"/>
              <w:ind w:right="20"/>
              <w:spacing w:after="0" w:line="192" w:lineRule="exact"/>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60" w:type="dxa"/>
            <w:vAlign w:val="bottom"/>
            <w:tcBorders>
              <w:right w:val="single" w:sz="8" w:color="0000EE"/>
            </w:tcBorders>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2700" w:type="dxa"/>
            <w:vAlign w:val="bottom"/>
            <w:tcBorders>
              <w:bottom w:val="single" w:sz="8" w:color="0000EE"/>
            </w:tcBorders>
            <w:gridSpan w:val="13"/>
          </w:tcPr>
          <w:p>
            <w:pPr>
              <w:spacing w:after="0" w:line="192" w:lineRule="exact"/>
              <w:rPr>
                <w:rFonts w:ascii="Arial" w:cs="Arial" w:eastAsia="Arial" w:hAnsi="Arial"/>
                <w:sz w:val="18"/>
                <w:szCs w:val="18"/>
                <w:b w:val="1"/>
                <w:bCs w:val="1"/>
                <w:color w:val="0000EE"/>
                <w:w w:val="88"/>
              </w:rPr>
            </w:pPr>
            <w:hyperlink w:anchor="page11">
              <w:r>
                <w:rPr>
                  <w:rFonts w:ascii="Arial" w:cs="Arial" w:eastAsia="Arial" w:hAnsi="Arial"/>
                  <w:sz w:val="18"/>
                  <w:szCs w:val="18"/>
                  <w:b w:val="1"/>
                  <w:bCs w:val="1"/>
                  <w:color w:val="0000EE"/>
                  <w:w w:val="88"/>
                </w:rPr>
                <w:t>Board of Directors and Committees</w:t>
              </w:r>
            </w:hyperlink>
          </w:p>
        </w:tc>
        <w:tc>
          <w:tcPr>
            <w:tcW w:w="7720" w:type="dxa"/>
            <w:vAlign w:val="bottom"/>
            <w:gridSpan w:val="17"/>
          </w:tcPr>
          <w:p>
            <w:pPr>
              <w:spacing w:after="0"/>
              <w:rPr>
                <w:sz w:val="16"/>
                <w:szCs w:val="16"/>
                <w:color w:val="auto"/>
              </w:rPr>
            </w:pPr>
          </w:p>
        </w:tc>
        <w:tc>
          <w:tcPr>
            <w:tcW w:w="720" w:type="dxa"/>
            <w:vAlign w:val="bottom"/>
            <w:gridSpan w:val="2"/>
          </w:tcPr>
          <w:p>
            <w:pPr>
              <w:jc w:val="right"/>
              <w:ind w:right="20"/>
              <w:spacing w:after="0" w:line="192" w:lineRule="exact"/>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1380" w:type="dxa"/>
            <w:vAlign w:val="bottom"/>
            <w:tcBorders>
              <w:bottom w:val="single" w:sz="8" w:color="0000EE"/>
            </w:tcBorders>
            <w:gridSpan w:val="5"/>
          </w:tcPr>
          <w:p>
            <w:pPr>
              <w:spacing w:after="0" w:line="192" w:lineRule="exact"/>
              <w:rPr>
                <w:rFonts w:ascii="Arial" w:cs="Arial" w:eastAsia="Arial" w:hAnsi="Arial"/>
                <w:sz w:val="18"/>
                <w:szCs w:val="18"/>
                <w:b w:val="1"/>
                <w:bCs w:val="1"/>
                <w:color w:val="0000EE"/>
                <w:w w:val="88"/>
              </w:rPr>
            </w:pPr>
            <w:hyperlink w:anchor="page12">
              <w:r>
                <w:rPr>
                  <w:rFonts w:ascii="Arial" w:cs="Arial" w:eastAsia="Arial" w:hAnsi="Arial"/>
                  <w:sz w:val="18"/>
                  <w:szCs w:val="18"/>
                  <w:b w:val="1"/>
                  <w:bCs w:val="1"/>
                  <w:color w:val="0000EE"/>
                  <w:w w:val="88"/>
                </w:rPr>
                <w:t>Recommendation</w:t>
              </w:r>
            </w:hyperlink>
          </w:p>
        </w:tc>
        <w:tc>
          <w:tcPr>
            <w:tcW w:w="9040" w:type="dxa"/>
            <w:vAlign w:val="bottom"/>
            <w:gridSpan w:val="25"/>
          </w:tcPr>
          <w:p>
            <w:pPr>
              <w:spacing w:after="0"/>
              <w:rPr>
                <w:sz w:val="16"/>
                <w:szCs w:val="16"/>
                <w:color w:val="auto"/>
              </w:rPr>
            </w:pPr>
          </w:p>
        </w:tc>
        <w:tc>
          <w:tcPr>
            <w:tcW w:w="720" w:type="dxa"/>
            <w:vAlign w:val="bottom"/>
            <w:gridSpan w:val="2"/>
          </w:tcPr>
          <w:p>
            <w:pPr>
              <w:jc w:val="right"/>
              <w:ind w:right="20"/>
              <w:spacing w:after="0" w:line="192" w:lineRule="exact"/>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192"/>
        </w:trPr>
        <w:tc>
          <w:tcPr>
            <w:tcW w:w="2300" w:type="dxa"/>
            <w:vAlign w:val="bottom"/>
            <w:tcBorders>
              <w:bottom w:val="single" w:sz="8" w:color="0000EE"/>
            </w:tcBorders>
            <w:gridSpan w:val="10"/>
          </w:tcPr>
          <w:p>
            <w:pPr>
              <w:spacing w:after="0" w:line="192" w:lineRule="exact"/>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DIRECTOR NOMINATIONS</w:t>
              </w:r>
            </w:hyperlink>
          </w:p>
        </w:tc>
        <w:tc>
          <w:tcPr>
            <w:tcW w:w="8320" w:type="dxa"/>
            <w:vAlign w:val="bottom"/>
            <w:gridSpan w:val="21"/>
          </w:tcPr>
          <w:p>
            <w:pPr>
              <w:spacing w:after="0"/>
              <w:rPr>
                <w:sz w:val="16"/>
                <w:szCs w:val="16"/>
                <w:color w:val="auto"/>
              </w:rPr>
            </w:pPr>
          </w:p>
        </w:tc>
        <w:tc>
          <w:tcPr>
            <w:tcW w:w="720" w:type="dxa"/>
            <w:vAlign w:val="bottom"/>
            <w:gridSpan w:val="2"/>
          </w:tcPr>
          <w:p>
            <w:pPr>
              <w:jc w:val="right"/>
              <w:ind w:right="20"/>
              <w:spacing w:after="0" w:line="192" w:lineRule="exact"/>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620" w:type="dxa"/>
            <w:vAlign w:val="bottom"/>
            <w:tcBorders>
              <w:bottom w:val="single" w:sz="8" w:color="0000EE"/>
            </w:tcBorders>
            <w:gridSpan w:val="2"/>
          </w:tcPr>
          <w:p>
            <w:pPr>
              <w:spacing w:after="0" w:line="192" w:lineRule="exact"/>
              <w:rPr>
                <w:rFonts w:ascii="Arial" w:cs="Arial" w:eastAsia="Arial" w:hAnsi="Arial"/>
                <w:sz w:val="18"/>
                <w:szCs w:val="18"/>
                <w:b w:val="1"/>
                <w:bCs w:val="1"/>
                <w:color w:val="0000EE"/>
                <w:w w:val="89"/>
              </w:rPr>
            </w:pPr>
            <w:hyperlink w:anchor="page12">
              <w:r>
                <w:rPr>
                  <w:rFonts w:ascii="Arial" w:cs="Arial" w:eastAsia="Arial" w:hAnsi="Arial"/>
                  <w:sz w:val="18"/>
                  <w:szCs w:val="18"/>
                  <w:b w:val="1"/>
                  <w:bCs w:val="1"/>
                  <w:color w:val="0000EE"/>
                  <w:w w:val="89"/>
                </w:rPr>
                <w:t>General</w:t>
              </w:r>
            </w:hyperlink>
          </w:p>
        </w:tc>
        <w:tc>
          <w:tcPr>
            <w:tcW w:w="9800" w:type="dxa"/>
            <w:vAlign w:val="bottom"/>
            <w:gridSpan w:val="28"/>
          </w:tcPr>
          <w:p>
            <w:pPr>
              <w:spacing w:after="0"/>
              <w:rPr>
                <w:sz w:val="16"/>
                <w:szCs w:val="16"/>
                <w:color w:val="auto"/>
              </w:rPr>
            </w:pPr>
          </w:p>
        </w:tc>
        <w:tc>
          <w:tcPr>
            <w:tcW w:w="720" w:type="dxa"/>
            <w:vAlign w:val="bottom"/>
            <w:gridSpan w:val="2"/>
          </w:tcPr>
          <w:p>
            <w:pPr>
              <w:jc w:val="right"/>
              <w:ind w:right="20"/>
              <w:spacing w:after="0" w:line="192" w:lineRule="exact"/>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4460" w:type="dxa"/>
            <w:vAlign w:val="bottom"/>
            <w:tcBorders>
              <w:bottom w:val="single" w:sz="8" w:color="0000EE"/>
            </w:tcBorders>
            <w:gridSpan w:val="24"/>
          </w:tcPr>
          <w:p>
            <w:pPr>
              <w:spacing w:after="0" w:line="192" w:lineRule="exact"/>
              <w:rPr>
                <w:rFonts w:ascii="Arial" w:cs="Arial" w:eastAsia="Arial" w:hAnsi="Arial"/>
                <w:sz w:val="18"/>
                <w:szCs w:val="18"/>
                <w:b w:val="1"/>
                <w:bCs w:val="1"/>
                <w:color w:val="0000EE"/>
                <w:w w:val="88"/>
              </w:rPr>
            </w:pPr>
            <w:hyperlink w:anchor="page12">
              <w:r>
                <w:rPr>
                  <w:rFonts w:ascii="Arial" w:cs="Arial" w:eastAsia="Arial" w:hAnsi="Arial"/>
                  <w:sz w:val="18"/>
                  <w:szCs w:val="18"/>
                  <w:b w:val="1"/>
                  <w:bCs w:val="1"/>
                  <w:color w:val="0000EE"/>
                  <w:w w:val="88"/>
                </w:rPr>
                <w:t>Nominating/Corporate Governance Committee Procedures</w:t>
              </w:r>
            </w:hyperlink>
          </w:p>
        </w:tc>
        <w:tc>
          <w:tcPr>
            <w:tcW w:w="5960" w:type="dxa"/>
            <w:vAlign w:val="bottom"/>
            <w:gridSpan w:val="6"/>
          </w:tcPr>
          <w:p>
            <w:pPr>
              <w:spacing w:after="0"/>
              <w:rPr>
                <w:sz w:val="16"/>
                <w:szCs w:val="16"/>
                <w:color w:val="auto"/>
              </w:rPr>
            </w:pPr>
          </w:p>
        </w:tc>
        <w:tc>
          <w:tcPr>
            <w:tcW w:w="720" w:type="dxa"/>
            <w:vAlign w:val="bottom"/>
            <w:gridSpan w:val="2"/>
          </w:tcPr>
          <w:p>
            <w:pPr>
              <w:jc w:val="right"/>
              <w:ind w:right="20"/>
              <w:spacing w:after="0" w:line="192" w:lineRule="exact"/>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10420" w:type="dxa"/>
            <w:vAlign w:val="bottom"/>
            <w:gridSpan w:val="30"/>
          </w:tcPr>
          <w:p>
            <w:pPr>
              <w:spacing w:after="0" w:line="192" w:lineRule="exact"/>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Shareholder Nominations</w:t>
              </w:r>
            </w:hyperlink>
          </w:p>
        </w:tc>
        <w:tc>
          <w:tcPr>
            <w:tcW w:w="720" w:type="dxa"/>
            <w:vAlign w:val="bottom"/>
            <w:gridSpan w:val="2"/>
          </w:tcPr>
          <w:p>
            <w:pPr>
              <w:jc w:val="right"/>
              <w:ind w:right="20"/>
              <w:spacing w:after="0" w:line="192" w:lineRule="exact"/>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0" w:type="dxa"/>
            <w:vAlign w:val="bottom"/>
            <w:gridSpan w:val="5"/>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0620" w:type="dxa"/>
            <w:vAlign w:val="bottom"/>
            <w:gridSpan w:val="31"/>
          </w:tcPr>
          <w:p>
            <w:pPr>
              <w:spacing w:after="0" w:line="192" w:lineRule="exact"/>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CODE OF ETHICAL CONDUCT</w:t>
              </w:r>
            </w:hyperlink>
          </w:p>
        </w:tc>
        <w:tc>
          <w:tcPr>
            <w:tcW w:w="720" w:type="dxa"/>
            <w:vAlign w:val="bottom"/>
            <w:gridSpan w:val="2"/>
          </w:tcPr>
          <w:p>
            <w:pPr>
              <w:jc w:val="right"/>
              <w:ind w:right="20"/>
              <w:spacing w:after="0" w:line="192" w:lineRule="exact"/>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1000" w:type="dxa"/>
            <w:vAlign w:val="bottom"/>
            <w:gridSpan w:val="5"/>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300" w:type="dxa"/>
            <w:vAlign w:val="bottom"/>
            <w:tcBorders>
              <w:bottom w:val="single" w:sz="8" w:color="0000EE"/>
            </w:tcBorders>
            <w:gridSpan w:val="29"/>
          </w:tcPr>
          <w:p>
            <w:pPr>
              <w:spacing w:after="0" w:line="192" w:lineRule="exact"/>
              <w:rPr>
                <w:rFonts w:ascii="Arial" w:cs="Arial" w:eastAsia="Arial" w:hAnsi="Arial"/>
                <w:sz w:val="18"/>
                <w:szCs w:val="18"/>
                <w:b w:val="1"/>
                <w:bCs w:val="1"/>
                <w:color w:val="0000EE"/>
                <w:w w:val="98"/>
              </w:rPr>
            </w:pPr>
            <w:hyperlink w:anchor="page13">
              <w:r>
                <w:rPr>
                  <w:rFonts w:ascii="Arial" w:cs="Arial" w:eastAsia="Arial" w:hAnsi="Arial"/>
                  <w:sz w:val="18"/>
                  <w:szCs w:val="18"/>
                  <w:b w:val="1"/>
                  <w:bCs w:val="1"/>
                  <w:color w:val="0000EE"/>
                  <w:w w:val="98"/>
                </w:rPr>
                <w:t>COMPENSATION OF DIRECTORS AND EXECUTIVE OFFICERS</w:t>
              </w:r>
            </w:hyperlink>
          </w:p>
        </w:tc>
        <w:tc>
          <w:tcPr>
            <w:tcW w:w="5320" w:type="dxa"/>
            <w:vAlign w:val="bottom"/>
            <w:gridSpan w:val="2"/>
          </w:tcPr>
          <w:p>
            <w:pPr>
              <w:spacing w:after="0"/>
              <w:rPr>
                <w:sz w:val="16"/>
                <w:szCs w:val="16"/>
                <w:color w:val="auto"/>
              </w:rPr>
            </w:pPr>
          </w:p>
        </w:tc>
        <w:tc>
          <w:tcPr>
            <w:tcW w:w="720" w:type="dxa"/>
            <w:vAlign w:val="bottom"/>
            <w:gridSpan w:val="2"/>
          </w:tcPr>
          <w:p>
            <w:pPr>
              <w:jc w:val="right"/>
              <w:ind w:right="20"/>
              <w:spacing w:after="0" w:line="192" w:lineRule="exact"/>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1800" w:type="dxa"/>
            <w:vAlign w:val="bottom"/>
            <w:tcBorders>
              <w:bottom w:val="single" w:sz="8" w:color="0000EE"/>
            </w:tcBorders>
            <w:gridSpan w:val="7"/>
          </w:tcPr>
          <w:p>
            <w:pPr>
              <w:spacing w:after="0" w:line="192" w:lineRule="exact"/>
              <w:rPr>
                <w:rFonts w:ascii="Arial" w:cs="Arial" w:eastAsia="Arial" w:hAnsi="Arial"/>
                <w:sz w:val="18"/>
                <w:szCs w:val="18"/>
                <w:b w:val="1"/>
                <w:bCs w:val="1"/>
                <w:color w:val="0000EE"/>
                <w:w w:val="88"/>
              </w:rPr>
            </w:pPr>
            <w:hyperlink w:anchor="page13">
              <w:r>
                <w:rPr>
                  <w:rFonts w:ascii="Arial" w:cs="Arial" w:eastAsia="Arial" w:hAnsi="Arial"/>
                  <w:sz w:val="18"/>
                  <w:szCs w:val="18"/>
                  <w:b w:val="1"/>
                  <w:bCs w:val="1"/>
                  <w:color w:val="0000EE"/>
                  <w:w w:val="88"/>
                </w:rPr>
                <w:t>Director Compensation</w:t>
              </w:r>
            </w:hyperlink>
          </w:p>
        </w:tc>
        <w:tc>
          <w:tcPr>
            <w:tcW w:w="8620" w:type="dxa"/>
            <w:vAlign w:val="bottom"/>
            <w:gridSpan w:val="23"/>
          </w:tcPr>
          <w:p>
            <w:pPr>
              <w:spacing w:after="0"/>
              <w:rPr>
                <w:sz w:val="16"/>
                <w:szCs w:val="16"/>
                <w:color w:val="auto"/>
              </w:rPr>
            </w:pPr>
          </w:p>
        </w:tc>
        <w:tc>
          <w:tcPr>
            <w:tcW w:w="720" w:type="dxa"/>
            <w:vAlign w:val="bottom"/>
            <w:gridSpan w:val="2"/>
          </w:tcPr>
          <w:p>
            <w:pPr>
              <w:jc w:val="right"/>
              <w:ind w:right="20"/>
              <w:spacing w:after="0" w:line="192" w:lineRule="exact"/>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1940" w:type="dxa"/>
            <w:vAlign w:val="bottom"/>
            <w:tcBorders>
              <w:bottom w:val="single" w:sz="8" w:color="0000EE"/>
            </w:tcBorders>
            <w:gridSpan w:val="8"/>
          </w:tcPr>
          <w:p>
            <w:pPr>
              <w:spacing w:after="0" w:line="192" w:lineRule="exact"/>
              <w:rPr>
                <w:rFonts w:ascii="Arial" w:cs="Arial" w:eastAsia="Arial" w:hAnsi="Arial"/>
                <w:sz w:val="18"/>
                <w:szCs w:val="18"/>
                <w:b w:val="1"/>
                <w:bCs w:val="1"/>
                <w:color w:val="0000EE"/>
                <w:w w:val="88"/>
              </w:rPr>
            </w:pPr>
            <w:hyperlink w:anchor="page14">
              <w:r>
                <w:rPr>
                  <w:rFonts w:ascii="Arial" w:cs="Arial" w:eastAsia="Arial" w:hAnsi="Arial"/>
                  <w:sz w:val="18"/>
                  <w:szCs w:val="18"/>
                  <w:b w:val="1"/>
                  <w:bCs w:val="1"/>
                  <w:color w:val="0000EE"/>
                  <w:w w:val="88"/>
                </w:rPr>
                <w:t>Executive Compensation</w:t>
              </w:r>
            </w:hyperlink>
          </w:p>
        </w:tc>
        <w:tc>
          <w:tcPr>
            <w:tcW w:w="8480" w:type="dxa"/>
            <w:vAlign w:val="bottom"/>
            <w:gridSpan w:val="22"/>
          </w:tcPr>
          <w:p>
            <w:pPr>
              <w:spacing w:after="0"/>
              <w:rPr>
                <w:sz w:val="16"/>
                <w:szCs w:val="16"/>
                <w:color w:val="auto"/>
              </w:rPr>
            </w:pPr>
          </w:p>
        </w:tc>
        <w:tc>
          <w:tcPr>
            <w:tcW w:w="720" w:type="dxa"/>
            <w:vAlign w:val="bottom"/>
            <w:gridSpan w:val="2"/>
          </w:tcPr>
          <w:p>
            <w:pPr>
              <w:jc w:val="right"/>
              <w:ind w:right="20"/>
              <w:spacing w:after="0" w:line="192" w:lineRule="exact"/>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2720" w:type="dxa"/>
            <w:vAlign w:val="bottom"/>
            <w:tcBorders>
              <w:bottom w:val="single" w:sz="8" w:color="0000EE"/>
            </w:tcBorders>
            <w:gridSpan w:val="14"/>
          </w:tcPr>
          <w:p>
            <w:pPr>
              <w:spacing w:after="0" w:line="192" w:lineRule="exact"/>
              <w:rPr>
                <w:rFonts w:ascii="Arial" w:cs="Arial" w:eastAsia="Arial" w:hAnsi="Arial"/>
                <w:sz w:val="18"/>
                <w:szCs w:val="18"/>
                <w:b w:val="1"/>
                <w:bCs w:val="1"/>
                <w:color w:val="0000EE"/>
                <w:w w:val="87"/>
              </w:rPr>
            </w:pPr>
            <w:hyperlink w:anchor="page16">
              <w:r>
                <w:rPr>
                  <w:rFonts w:ascii="Arial" w:cs="Arial" w:eastAsia="Arial" w:hAnsi="Arial"/>
                  <w:sz w:val="18"/>
                  <w:szCs w:val="18"/>
                  <w:b w:val="1"/>
                  <w:bCs w:val="1"/>
                  <w:color w:val="0000EE"/>
                  <w:w w:val="87"/>
                </w:rPr>
                <w:t>Agreements with Executive Officers</w:t>
              </w:r>
            </w:hyperlink>
          </w:p>
        </w:tc>
        <w:tc>
          <w:tcPr>
            <w:tcW w:w="7700" w:type="dxa"/>
            <w:vAlign w:val="bottom"/>
            <w:gridSpan w:val="16"/>
          </w:tcPr>
          <w:p>
            <w:pPr>
              <w:spacing w:after="0"/>
              <w:rPr>
                <w:sz w:val="16"/>
                <w:szCs w:val="16"/>
                <w:color w:val="auto"/>
              </w:rPr>
            </w:pPr>
          </w:p>
        </w:tc>
        <w:tc>
          <w:tcPr>
            <w:tcW w:w="700" w:type="dxa"/>
            <w:vAlign w:val="bottom"/>
          </w:tcPr>
          <w:p>
            <w:pPr>
              <w:jc w:val="right"/>
              <w:spacing w:after="0" w:line="192" w:lineRule="exact"/>
              <w:rPr>
                <w:sz w:val="20"/>
                <w:szCs w:val="20"/>
                <w:color w:val="auto"/>
              </w:rPr>
            </w:pPr>
            <w:r>
              <w:rPr>
                <w:rFonts w:ascii="Arial" w:cs="Arial" w:eastAsia="Arial" w:hAnsi="Arial"/>
                <w:sz w:val="18"/>
                <w:szCs w:val="18"/>
                <w:b w:val="1"/>
                <w:bCs w:val="1"/>
                <w:color w:val="auto"/>
              </w:rPr>
              <w:t>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4740" w:type="dxa"/>
            <w:vAlign w:val="bottom"/>
            <w:tcBorders>
              <w:bottom w:val="single" w:sz="8" w:color="0000EE"/>
            </w:tcBorders>
            <w:gridSpan w:val="25"/>
          </w:tcPr>
          <w:p>
            <w:pPr>
              <w:spacing w:after="0" w:line="192" w:lineRule="exact"/>
              <w:rPr>
                <w:rFonts w:ascii="Arial" w:cs="Arial" w:eastAsia="Arial" w:hAnsi="Arial"/>
                <w:sz w:val="18"/>
                <w:szCs w:val="18"/>
                <w:b w:val="1"/>
                <w:bCs w:val="1"/>
                <w:color w:val="0000EE"/>
                <w:w w:val="89"/>
              </w:rPr>
            </w:pPr>
            <w:hyperlink w:anchor="page17">
              <w:r>
                <w:rPr>
                  <w:rFonts w:ascii="Arial" w:cs="Arial" w:eastAsia="Arial" w:hAnsi="Arial"/>
                  <w:sz w:val="18"/>
                  <w:szCs w:val="18"/>
                  <w:b w:val="1"/>
                  <w:bCs w:val="1"/>
                  <w:color w:val="0000EE"/>
                  <w:w w:val="89"/>
                </w:rPr>
                <w:t>Compensation Committee Interlocks and Insider Participation</w:t>
              </w:r>
            </w:hyperlink>
          </w:p>
        </w:tc>
        <w:tc>
          <w:tcPr>
            <w:tcW w:w="5680" w:type="dxa"/>
            <w:vAlign w:val="bottom"/>
            <w:gridSpan w:val="5"/>
          </w:tcPr>
          <w:p>
            <w:pPr>
              <w:spacing w:after="0"/>
              <w:rPr>
                <w:sz w:val="16"/>
                <w:szCs w:val="16"/>
                <w:color w:val="auto"/>
              </w:rPr>
            </w:pPr>
          </w:p>
        </w:tc>
        <w:tc>
          <w:tcPr>
            <w:tcW w:w="720" w:type="dxa"/>
            <w:vAlign w:val="bottom"/>
            <w:gridSpan w:val="2"/>
          </w:tcPr>
          <w:p>
            <w:pPr>
              <w:jc w:val="right"/>
              <w:ind w:right="20"/>
              <w:spacing w:after="0" w:line="192" w:lineRule="exact"/>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192"/>
        </w:trPr>
        <w:tc>
          <w:tcPr>
            <w:tcW w:w="3640" w:type="dxa"/>
            <w:vAlign w:val="bottom"/>
            <w:tcBorders>
              <w:bottom w:val="single" w:sz="8" w:color="0000EE"/>
            </w:tcBorders>
            <w:gridSpan w:val="20"/>
          </w:tcPr>
          <w:p>
            <w:pPr>
              <w:spacing w:after="0" w:line="192" w:lineRule="exact"/>
              <w:rPr>
                <w:rFonts w:ascii="Arial" w:cs="Arial" w:eastAsia="Arial" w:hAnsi="Arial"/>
                <w:sz w:val="18"/>
                <w:szCs w:val="18"/>
                <w:b w:val="1"/>
                <w:bCs w:val="1"/>
                <w:color w:val="0000EE"/>
                <w:w w:val="98"/>
              </w:rPr>
            </w:pPr>
            <w:hyperlink w:anchor="page17">
              <w:r>
                <w:rPr>
                  <w:rFonts w:ascii="Arial" w:cs="Arial" w:eastAsia="Arial" w:hAnsi="Arial"/>
                  <w:sz w:val="18"/>
                  <w:szCs w:val="18"/>
                  <w:b w:val="1"/>
                  <w:bCs w:val="1"/>
                  <w:color w:val="0000EE"/>
                  <w:w w:val="98"/>
                </w:rPr>
                <w:t>REPORT ON EXECUTIVE COMPENSATION</w:t>
              </w:r>
            </w:hyperlink>
          </w:p>
        </w:tc>
        <w:tc>
          <w:tcPr>
            <w:tcW w:w="6980" w:type="dxa"/>
            <w:vAlign w:val="bottom"/>
            <w:gridSpan w:val="11"/>
          </w:tcPr>
          <w:p>
            <w:pPr>
              <w:spacing w:after="0"/>
              <w:rPr>
                <w:sz w:val="16"/>
                <w:szCs w:val="16"/>
                <w:color w:val="auto"/>
              </w:rPr>
            </w:pPr>
          </w:p>
        </w:tc>
        <w:tc>
          <w:tcPr>
            <w:tcW w:w="720" w:type="dxa"/>
            <w:vAlign w:val="bottom"/>
            <w:gridSpan w:val="2"/>
          </w:tcPr>
          <w:p>
            <w:pPr>
              <w:jc w:val="right"/>
              <w:ind w:right="20"/>
              <w:spacing w:after="0" w:line="192" w:lineRule="exact"/>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620" w:type="dxa"/>
            <w:vAlign w:val="bottom"/>
            <w:tcBorders>
              <w:bottom w:val="single" w:sz="8" w:color="0000EE"/>
            </w:tcBorders>
            <w:gridSpan w:val="2"/>
          </w:tcPr>
          <w:p>
            <w:pPr>
              <w:spacing w:after="0" w:line="192" w:lineRule="exact"/>
              <w:rPr>
                <w:rFonts w:ascii="Arial" w:cs="Arial" w:eastAsia="Arial" w:hAnsi="Arial"/>
                <w:sz w:val="18"/>
                <w:szCs w:val="18"/>
                <w:b w:val="1"/>
                <w:bCs w:val="1"/>
                <w:color w:val="0000EE"/>
                <w:w w:val="89"/>
              </w:rPr>
            </w:pPr>
            <w:hyperlink w:anchor="page17">
              <w:r>
                <w:rPr>
                  <w:rFonts w:ascii="Arial" w:cs="Arial" w:eastAsia="Arial" w:hAnsi="Arial"/>
                  <w:sz w:val="18"/>
                  <w:szCs w:val="18"/>
                  <w:b w:val="1"/>
                  <w:bCs w:val="1"/>
                  <w:color w:val="0000EE"/>
                  <w:w w:val="89"/>
                </w:rPr>
                <w:t>General</w:t>
              </w:r>
            </w:hyperlink>
          </w:p>
        </w:tc>
        <w:tc>
          <w:tcPr>
            <w:tcW w:w="9800" w:type="dxa"/>
            <w:vAlign w:val="bottom"/>
            <w:gridSpan w:val="28"/>
          </w:tcPr>
          <w:p>
            <w:pPr>
              <w:spacing w:after="0"/>
              <w:rPr>
                <w:sz w:val="16"/>
                <w:szCs w:val="16"/>
                <w:color w:val="auto"/>
              </w:rPr>
            </w:pPr>
          </w:p>
        </w:tc>
        <w:tc>
          <w:tcPr>
            <w:tcW w:w="720" w:type="dxa"/>
            <w:vAlign w:val="bottom"/>
            <w:gridSpan w:val="2"/>
          </w:tcPr>
          <w:p>
            <w:pPr>
              <w:jc w:val="right"/>
              <w:ind w:right="20"/>
              <w:spacing w:after="0" w:line="192" w:lineRule="exact"/>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500" w:type="dxa"/>
            <w:vAlign w:val="bottom"/>
            <w:tcBorders>
              <w:bottom w:val="single" w:sz="8" w:color="0000EE"/>
            </w:tcBorders>
          </w:tcPr>
          <w:p>
            <w:pPr>
              <w:spacing w:after="0" w:line="192" w:lineRule="exact"/>
              <w:rPr>
                <w:rFonts w:ascii="Arial" w:cs="Arial" w:eastAsia="Arial" w:hAnsi="Arial"/>
                <w:sz w:val="18"/>
                <w:szCs w:val="18"/>
                <w:b w:val="1"/>
                <w:bCs w:val="1"/>
                <w:color w:val="0000EE"/>
                <w:w w:val="88"/>
              </w:rPr>
            </w:pPr>
            <w:hyperlink w:anchor="page17">
              <w:r>
                <w:rPr>
                  <w:rFonts w:ascii="Arial" w:cs="Arial" w:eastAsia="Arial" w:hAnsi="Arial"/>
                  <w:sz w:val="18"/>
                  <w:szCs w:val="18"/>
                  <w:b w:val="1"/>
                  <w:bCs w:val="1"/>
                  <w:color w:val="0000EE"/>
                  <w:w w:val="88"/>
                </w:rPr>
                <w:t>Salary</w:t>
              </w:r>
            </w:hyperlink>
          </w:p>
        </w:tc>
        <w:tc>
          <w:tcPr>
            <w:tcW w:w="9920" w:type="dxa"/>
            <w:vAlign w:val="bottom"/>
            <w:gridSpan w:val="29"/>
          </w:tcPr>
          <w:p>
            <w:pPr>
              <w:spacing w:after="0"/>
              <w:rPr>
                <w:sz w:val="16"/>
                <w:szCs w:val="16"/>
                <w:color w:val="auto"/>
              </w:rPr>
            </w:pPr>
          </w:p>
        </w:tc>
        <w:tc>
          <w:tcPr>
            <w:tcW w:w="720" w:type="dxa"/>
            <w:vAlign w:val="bottom"/>
            <w:gridSpan w:val="2"/>
          </w:tcPr>
          <w:p>
            <w:pPr>
              <w:jc w:val="right"/>
              <w:ind w:right="20"/>
              <w:spacing w:after="0" w:line="192" w:lineRule="exact"/>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2440" w:type="dxa"/>
            <w:vAlign w:val="bottom"/>
            <w:tcBorders>
              <w:bottom w:val="single" w:sz="8" w:color="0000EE"/>
            </w:tcBorders>
            <w:gridSpan w:val="12"/>
          </w:tcPr>
          <w:p>
            <w:pPr>
              <w:spacing w:after="0" w:line="192" w:lineRule="exact"/>
              <w:rPr>
                <w:rFonts w:ascii="Arial" w:cs="Arial" w:eastAsia="Arial" w:hAnsi="Arial"/>
                <w:sz w:val="18"/>
                <w:szCs w:val="18"/>
                <w:b w:val="1"/>
                <w:bCs w:val="1"/>
                <w:color w:val="0000EE"/>
                <w:w w:val="88"/>
              </w:rPr>
            </w:pPr>
            <w:hyperlink w:anchor="page18">
              <w:r>
                <w:rPr>
                  <w:rFonts w:ascii="Arial" w:cs="Arial" w:eastAsia="Arial" w:hAnsi="Arial"/>
                  <w:sz w:val="18"/>
                  <w:szCs w:val="18"/>
                  <w:b w:val="1"/>
                  <w:bCs w:val="1"/>
                  <w:color w:val="0000EE"/>
                  <w:w w:val="88"/>
                </w:rPr>
                <w:t>Annual Incentive Compensation</w:t>
              </w:r>
            </w:hyperlink>
          </w:p>
        </w:tc>
        <w:tc>
          <w:tcPr>
            <w:tcW w:w="7980" w:type="dxa"/>
            <w:vAlign w:val="bottom"/>
            <w:gridSpan w:val="18"/>
          </w:tcPr>
          <w:p>
            <w:pPr>
              <w:spacing w:after="0"/>
              <w:rPr>
                <w:sz w:val="16"/>
                <w:szCs w:val="16"/>
                <w:color w:val="auto"/>
              </w:rPr>
            </w:pPr>
          </w:p>
        </w:tc>
        <w:tc>
          <w:tcPr>
            <w:tcW w:w="700" w:type="dxa"/>
            <w:vAlign w:val="bottom"/>
          </w:tcPr>
          <w:p>
            <w:pPr>
              <w:jc w:val="right"/>
              <w:spacing w:after="0" w:line="192" w:lineRule="exact"/>
              <w:rPr>
                <w:sz w:val="20"/>
                <w:szCs w:val="20"/>
                <w:color w:val="auto"/>
              </w:rPr>
            </w:pPr>
            <w:r>
              <w:rPr>
                <w:rFonts w:ascii="Arial" w:cs="Arial" w:eastAsia="Arial" w:hAnsi="Arial"/>
                <w:sz w:val="18"/>
                <w:szCs w:val="18"/>
                <w:b w:val="1"/>
                <w:bCs w:val="1"/>
                <w:color w:val="auto"/>
              </w:rPr>
              <w:t>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10420" w:type="dxa"/>
            <w:vAlign w:val="bottom"/>
            <w:gridSpan w:val="30"/>
          </w:tcPr>
          <w:p>
            <w:pPr>
              <w:spacing w:after="0" w:line="192" w:lineRule="exact"/>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Retirement Benefits</w:t>
              </w:r>
            </w:hyperlink>
          </w:p>
        </w:tc>
        <w:tc>
          <w:tcPr>
            <w:tcW w:w="700" w:type="dxa"/>
            <w:vAlign w:val="bottom"/>
          </w:tcPr>
          <w:p>
            <w:pPr>
              <w:jc w:val="right"/>
              <w:spacing w:after="0" w:line="192" w:lineRule="exact"/>
              <w:rPr>
                <w:sz w:val="20"/>
                <w:szCs w:val="20"/>
                <w:color w:val="auto"/>
              </w:rPr>
            </w:pPr>
            <w:r>
              <w:rPr>
                <w:rFonts w:ascii="Arial" w:cs="Arial" w:eastAsia="Arial" w:hAnsi="Arial"/>
                <w:sz w:val="18"/>
                <w:szCs w:val="18"/>
                <w:b w:val="1"/>
                <w:bCs w:val="1"/>
                <w:color w:val="auto"/>
              </w:rPr>
              <w:t>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500" w:type="dxa"/>
            <w:vAlign w:val="bottom"/>
            <w:gridSpan w:val="6"/>
            <w:shd w:val="clear" w:color="auto" w:fill="0000EE"/>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10420" w:type="dxa"/>
            <w:vAlign w:val="bottom"/>
            <w:gridSpan w:val="30"/>
          </w:tcPr>
          <w:p>
            <w:pPr>
              <w:spacing w:after="0" w:line="192" w:lineRule="exact"/>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Stock Options and Restricted Stock Awards</w:t>
              </w:r>
            </w:hyperlink>
          </w:p>
        </w:tc>
        <w:tc>
          <w:tcPr>
            <w:tcW w:w="700" w:type="dxa"/>
            <w:vAlign w:val="bottom"/>
          </w:tcPr>
          <w:p>
            <w:pPr>
              <w:jc w:val="right"/>
              <w:spacing w:after="0" w:line="192" w:lineRule="exact"/>
              <w:rPr>
                <w:sz w:val="20"/>
                <w:szCs w:val="20"/>
                <w:color w:val="auto"/>
              </w:rPr>
            </w:pPr>
            <w:r>
              <w:rPr>
                <w:rFonts w:ascii="Arial" w:cs="Arial" w:eastAsia="Arial" w:hAnsi="Arial"/>
                <w:sz w:val="18"/>
                <w:szCs w:val="18"/>
                <w:b w:val="1"/>
                <w:bCs w:val="1"/>
                <w:color w:val="auto"/>
              </w:rPr>
              <w:t>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2920" w:type="dxa"/>
            <w:vAlign w:val="bottom"/>
            <w:tcBorders>
              <w:top w:val="single" w:sz="8" w:color="0000EE"/>
              <w:bottom w:val="single" w:sz="8" w:color="0000EE"/>
            </w:tcBorders>
            <w:gridSpan w:val="16"/>
          </w:tcPr>
          <w:p>
            <w:pPr>
              <w:spacing w:after="0" w:line="192" w:lineRule="exact"/>
              <w:rPr>
                <w:rFonts w:ascii="Arial" w:cs="Arial" w:eastAsia="Arial" w:hAnsi="Arial"/>
                <w:sz w:val="18"/>
                <w:szCs w:val="18"/>
                <w:b w:val="1"/>
                <w:bCs w:val="1"/>
                <w:color w:val="0000EE"/>
                <w:w w:val="88"/>
              </w:rPr>
            </w:pPr>
            <w:hyperlink w:anchor="page19">
              <w:r>
                <w:rPr>
                  <w:rFonts w:ascii="Arial" w:cs="Arial" w:eastAsia="Arial" w:hAnsi="Arial"/>
                  <w:sz w:val="18"/>
                  <w:szCs w:val="18"/>
                  <w:b w:val="1"/>
                  <w:bCs w:val="1"/>
                  <w:color w:val="0000EE"/>
                  <w:w w:val="88"/>
                </w:rPr>
                <w:t>Chief Executive Officer Compensation</w:t>
              </w:r>
            </w:hyperlink>
          </w:p>
        </w:tc>
        <w:tc>
          <w:tcPr>
            <w:tcW w:w="380" w:type="dxa"/>
            <w:vAlign w:val="bottom"/>
            <w:tcBorders>
              <w:top w:val="single" w:sz="8" w:color="0000EE"/>
            </w:tcBorders>
            <w:gridSpan w:val="2"/>
          </w:tcPr>
          <w:p>
            <w:pPr>
              <w:spacing w:after="0"/>
              <w:rPr>
                <w:sz w:val="16"/>
                <w:szCs w:val="16"/>
                <w:color w:val="auto"/>
              </w:rPr>
            </w:pPr>
          </w:p>
        </w:tc>
        <w:tc>
          <w:tcPr>
            <w:tcW w:w="7120" w:type="dxa"/>
            <w:vAlign w:val="bottom"/>
            <w:gridSpan w:val="12"/>
          </w:tcPr>
          <w:p>
            <w:pPr>
              <w:spacing w:after="0"/>
              <w:rPr>
                <w:sz w:val="16"/>
                <w:szCs w:val="16"/>
                <w:color w:val="auto"/>
              </w:rPr>
            </w:pPr>
          </w:p>
        </w:tc>
        <w:tc>
          <w:tcPr>
            <w:tcW w:w="700" w:type="dxa"/>
            <w:vAlign w:val="bottom"/>
          </w:tcPr>
          <w:p>
            <w:pPr>
              <w:jc w:val="right"/>
              <w:spacing w:after="0" w:line="192" w:lineRule="exact"/>
              <w:rPr>
                <w:sz w:val="20"/>
                <w:szCs w:val="20"/>
                <w:color w:val="auto"/>
              </w:rPr>
            </w:pPr>
            <w:r>
              <w:rPr>
                <w:rFonts w:ascii="Arial" w:cs="Arial" w:eastAsia="Arial" w:hAnsi="Arial"/>
                <w:sz w:val="18"/>
                <w:szCs w:val="18"/>
                <w:b w:val="1"/>
                <w:bCs w:val="1"/>
                <w:color w:val="auto"/>
              </w:rPr>
              <w:t>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340" w:type="dxa"/>
            <w:vAlign w:val="bottom"/>
            <w:tcBorders>
              <w:bottom w:val="single" w:sz="8" w:color="0000EE"/>
            </w:tcBorders>
            <w:gridSpan w:val="24"/>
          </w:tcPr>
          <w:p>
            <w:pPr>
              <w:spacing w:after="0" w:line="192" w:lineRule="exact"/>
              <w:rPr>
                <w:rFonts w:ascii="Arial" w:cs="Arial" w:eastAsia="Arial" w:hAnsi="Arial"/>
                <w:sz w:val="18"/>
                <w:szCs w:val="18"/>
                <w:b w:val="1"/>
                <w:bCs w:val="1"/>
                <w:color w:val="0000EE"/>
                <w:w w:val="98"/>
              </w:rPr>
            </w:pPr>
            <w:hyperlink w:anchor="page20">
              <w:r>
                <w:rPr>
                  <w:rFonts w:ascii="Arial" w:cs="Arial" w:eastAsia="Arial" w:hAnsi="Arial"/>
                  <w:sz w:val="18"/>
                  <w:szCs w:val="18"/>
                  <w:b w:val="1"/>
                  <w:bCs w:val="1"/>
                  <w:color w:val="0000EE"/>
                  <w:w w:val="98"/>
                </w:rPr>
                <w:t>SHAREHOLDER RETURN PERFORMANCE GRAPH</w:t>
              </w:r>
            </w:hyperlink>
          </w:p>
        </w:tc>
        <w:tc>
          <w:tcPr>
            <w:tcW w:w="6280" w:type="dxa"/>
            <w:vAlign w:val="bottom"/>
            <w:gridSpan w:val="7"/>
          </w:tcPr>
          <w:p>
            <w:pPr>
              <w:spacing w:after="0"/>
              <w:rPr>
                <w:sz w:val="16"/>
                <w:szCs w:val="16"/>
                <w:color w:val="auto"/>
              </w:rPr>
            </w:pPr>
          </w:p>
        </w:tc>
        <w:tc>
          <w:tcPr>
            <w:tcW w:w="700" w:type="dxa"/>
            <w:vAlign w:val="bottom"/>
          </w:tcPr>
          <w:p>
            <w:pPr>
              <w:jc w:val="right"/>
              <w:spacing w:after="0" w:line="192" w:lineRule="exact"/>
              <w:rPr>
                <w:sz w:val="20"/>
                <w:szCs w:val="20"/>
                <w:color w:val="auto"/>
              </w:rPr>
            </w:pPr>
            <w:r>
              <w:rPr>
                <w:rFonts w:ascii="Arial" w:cs="Arial" w:eastAsia="Arial" w:hAnsi="Arial"/>
                <w:sz w:val="18"/>
                <w:szCs w:val="18"/>
                <w:b w:val="1"/>
                <w:bCs w:val="1"/>
                <w:color w:val="auto"/>
              </w:rPr>
              <w:t>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340" w:type="dxa"/>
            <w:vAlign w:val="bottom"/>
            <w:tcBorders>
              <w:bottom w:val="single" w:sz="8" w:color="0000EE"/>
            </w:tcBorders>
            <w:gridSpan w:val="24"/>
          </w:tcPr>
          <w:p>
            <w:pPr>
              <w:spacing w:after="0" w:line="192" w:lineRule="exact"/>
              <w:rPr>
                <w:rFonts w:ascii="Arial" w:cs="Arial" w:eastAsia="Arial" w:hAnsi="Arial"/>
                <w:sz w:val="18"/>
                <w:szCs w:val="18"/>
                <w:b w:val="1"/>
                <w:bCs w:val="1"/>
                <w:color w:val="0000EE"/>
                <w:w w:val="99"/>
              </w:rPr>
            </w:pPr>
            <w:hyperlink w:anchor="page21">
              <w:r>
                <w:rPr>
                  <w:rFonts w:ascii="Arial" w:cs="Arial" w:eastAsia="Arial" w:hAnsi="Arial"/>
                  <w:sz w:val="18"/>
                  <w:szCs w:val="18"/>
                  <w:b w:val="1"/>
                  <w:bCs w:val="1"/>
                  <w:color w:val="0000EE"/>
                  <w:w w:val="99"/>
                </w:rPr>
                <w:t>PRINCIPAL AND MANAGEMENT SHAREHOLDERS</w:t>
              </w:r>
            </w:hyperlink>
          </w:p>
        </w:tc>
        <w:tc>
          <w:tcPr>
            <w:tcW w:w="6280" w:type="dxa"/>
            <w:vAlign w:val="bottom"/>
            <w:gridSpan w:val="7"/>
          </w:tcPr>
          <w:p>
            <w:pPr>
              <w:spacing w:after="0"/>
              <w:rPr>
                <w:sz w:val="16"/>
                <w:szCs w:val="16"/>
                <w:color w:val="auto"/>
              </w:rPr>
            </w:pPr>
          </w:p>
        </w:tc>
        <w:tc>
          <w:tcPr>
            <w:tcW w:w="700" w:type="dxa"/>
            <w:vAlign w:val="bottom"/>
          </w:tcPr>
          <w:p>
            <w:pPr>
              <w:jc w:val="right"/>
              <w:spacing w:after="0" w:line="192" w:lineRule="exact"/>
              <w:rPr>
                <w:sz w:val="20"/>
                <w:szCs w:val="20"/>
                <w:color w:val="auto"/>
              </w:rPr>
            </w:pPr>
            <w:r>
              <w:rPr>
                <w:rFonts w:ascii="Arial" w:cs="Arial" w:eastAsia="Arial" w:hAnsi="Arial"/>
                <w:sz w:val="18"/>
                <w:szCs w:val="18"/>
                <w:b w:val="1"/>
                <w:bCs w:val="1"/>
                <w:color w:val="auto"/>
              </w:rPr>
              <w:t>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940" w:type="dxa"/>
            <w:vAlign w:val="bottom"/>
            <w:tcBorders>
              <w:bottom w:val="single" w:sz="8" w:color="0000EE"/>
            </w:tcBorders>
            <w:gridSpan w:val="30"/>
          </w:tcPr>
          <w:p>
            <w:pPr>
              <w:spacing w:after="0" w:line="192" w:lineRule="exact"/>
              <w:rPr>
                <w:rFonts w:ascii="Arial" w:cs="Arial" w:eastAsia="Arial" w:hAnsi="Arial"/>
                <w:sz w:val="18"/>
                <w:szCs w:val="18"/>
                <w:b w:val="1"/>
                <w:bCs w:val="1"/>
                <w:color w:val="0000EE"/>
                <w:w w:val="99"/>
              </w:rPr>
            </w:pPr>
            <w:hyperlink w:anchor="page22">
              <w:r>
                <w:rPr>
                  <w:rFonts w:ascii="Arial" w:cs="Arial" w:eastAsia="Arial" w:hAnsi="Arial"/>
                  <w:sz w:val="18"/>
                  <w:szCs w:val="18"/>
                  <w:b w:val="1"/>
                  <w:bCs w:val="1"/>
                  <w:color w:val="0000EE"/>
                  <w:w w:val="99"/>
                </w:rPr>
                <w:t>SECTION 16(A) BENEFICIAL OWNERSHIP REPORTING COMPLIANCE</w:t>
              </w:r>
            </w:hyperlink>
          </w:p>
        </w:tc>
        <w:tc>
          <w:tcPr>
            <w:tcW w:w="4680" w:type="dxa"/>
            <w:vAlign w:val="bottom"/>
          </w:tcPr>
          <w:p>
            <w:pPr>
              <w:spacing w:after="0"/>
              <w:rPr>
                <w:sz w:val="16"/>
                <w:szCs w:val="16"/>
                <w:color w:val="auto"/>
              </w:rPr>
            </w:pPr>
          </w:p>
        </w:tc>
        <w:tc>
          <w:tcPr>
            <w:tcW w:w="700" w:type="dxa"/>
            <w:vAlign w:val="bottom"/>
          </w:tcPr>
          <w:p>
            <w:pPr>
              <w:jc w:val="right"/>
              <w:spacing w:after="0" w:line="192" w:lineRule="exact"/>
              <w:rPr>
                <w:sz w:val="20"/>
                <w:szCs w:val="20"/>
                <w:color w:val="auto"/>
              </w:rPr>
            </w:pPr>
            <w:r>
              <w:rPr>
                <w:rFonts w:ascii="Arial" w:cs="Arial" w:eastAsia="Arial" w:hAnsi="Arial"/>
                <w:sz w:val="18"/>
                <w:szCs w:val="18"/>
                <w:b w:val="1"/>
                <w:bCs w:val="1"/>
                <w:color w:val="auto"/>
              </w:rPr>
              <w:t>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0620" w:type="dxa"/>
            <w:vAlign w:val="bottom"/>
            <w:gridSpan w:val="31"/>
          </w:tcPr>
          <w:p>
            <w:pPr>
              <w:spacing w:after="0" w:line="192" w:lineRule="exact"/>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CERTAIN RELATIONSHIPS AND RELATED TRANSACTIONS</w:t>
              </w:r>
            </w:hyperlink>
          </w:p>
        </w:tc>
        <w:tc>
          <w:tcPr>
            <w:tcW w:w="700" w:type="dxa"/>
            <w:vAlign w:val="bottom"/>
          </w:tcPr>
          <w:p>
            <w:pPr>
              <w:jc w:val="right"/>
              <w:spacing w:after="0" w:line="192" w:lineRule="exact"/>
              <w:rPr>
                <w:sz w:val="20"/>
                <w:szCs w:val="20"/>
                <w:color w:val="auto"/>
              </w:rPr>
            </w:pPr>
            <w:r>
              <w:rPr>
                <w:rFonts w:ascii="Arial" w:cs="Arial" w:eastAsia="Arial" w:hAnsi="Arial"/>
                <w:sz w:val="18"/>
                <w:szCs w:val="18"/>
                <w:b w:val="1"/>
                <w:bCs w:val="1"/>
                <w:color w:val="auto"/>
              </w:rPr>
              <w:t>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600" w:type="dxa"/>
            <w:vAlign w:val="bottom"/>
            <w:tcBorders>
              <w:top w:val="single" w:sz="8" w:color="0000EE"/>
              <w:bottom w:val="single" w:sz="8" w:color="0000EE"/>
            </w:tcBorders>
            <w:gridSpan w:val="12"/>
          </w:tcPr>
          <w:p>
            <w:pPr>
              <w:spacing w:after="0" w:line="192" w:lineRule="exact"/>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AUDIT COMMITTEE REPORT</w:t>
              </w:r>
            </w:hyperlink>
          </w:p>
        </w:tc>
        <w:tc>
          <w:tcPr>
            <w:tcW w:w="2440" w:type="dxa"/>
            <w:vAlign w:val="bottom"/>
            <w:tcBorders>
              <w:top w:val="single" w:sz="8" w:color="0000EE"/>
            </w:tcBorders>
            <w:gridSpan w:val="15"/>
          </w:tcPr>
          <w:p>
            <w:pPr>
              <w:spacing w:after="0"/>
              <w:rPr>
                <w:sz w:val="16"/>
                <w:szCs w:val="16"/>
                <w:color w:val="auto"/>
              </w:rPr>
            </w:pPr>
          </w:p>
        </w:tc>
        <w:tc>
          <w:tcPr>
            <w:tcW w:w="5580" w:type="dxa"/>
            <w:vAlign w:val="bottom"/>
            <w:gridSpan w:val="4"/>
          </w:tcPr>
          <w:p>
            <w:pPr>
              <w:spacing w:after="0"/>
              <w:rPr>
                <w:sz w:val="16"/>
                <w:szCs w:val="16"/>
                <w:color w:val="auto"/>
              </w:rPr>
            </w:pPr>
          </w:p>
        </w:tc>
        <w:tc>
          <w:tcPr>
            <w:tcW w:w="700" w:type="dxa"/>
            <w:vAlign w:val="bottom"/>
          </w:tcPr>
          <w:p>
            <w:pPr>
              <w:jc w:val="right"/>
              <w:spacing w:after="0" w:line="192" w:lineRule="exact"/>
              <w:rPr>
                <w:sz w:val="20"/>
                <w:szCs w:val="20"/>
                <w:color w:val="auto"/>
              </w:rPr>
            </w:pPr>
            <w:r>
              <w:rPr>
                <w:rFonts w:ascii="Arial" w:cs="Arial" w:eastAsia="Arial" w:hAnsi="Arial"/>
                <w:sz w:val="18"/>
                <w:szCs w:val="18"/>
                <w:b w:val="1"/>
                <w:bCs w:val="1"/>
                <w:color w:val="auto"/>
              </w:rPr>
              <w:t>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20"/>
          </w:cols>
          <w:pgMar w:left="240" w:top="413"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0620" w:type="dxa"/>
            <w:vAlign w:val="bottom"/>
            <w:gridSpan w:val="8"/>
            <w:vMerge w:val="restart"/>
          </w:tcPr>
          <w:p>
            <w:pPr>
              <w:spacing w:after="0"/>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SHAREHOLDER COMMUNICATION</w:t>
              </w:r>
            </w:hyperlink>
          </w:p>
        </w:tc>
        <w:tc>
          <w:tcPr>
            <w:tcW w:w="7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6"/>
        </w:trPr>
        <w:tc>
          <w:tcPr>
            <w:tcW w:w="10620" w:type="dxa"/>
            <w:vAlign w:val="bottom"/>
            <w:gridSpan w:val="8"/>
            <w:vMerge w:val="continue"/>
          </w:tcPr>
          <w:p>
            <w:pPr>
              <w:spacing w:after="0"/>
              <w:rPr>
                <w:sz w:val="14"/>
                <w:szCs w:val="14"/>
                <w:color w:val="auto"/>
              </w:rPr>
            </w:pPr>
          </w:p>
        </w:tc>
        <w:tc>
          <w:tcPr>
            <w:tcW w:w="700" w:type="dxa"/>
            <w:vAlign w:val="bottom"/>
          </w:tcPr>
          <w:p>
            <w:pPr>
              <w:jc w:val="right"/>
              <w:spacing w:after="0" w:line="166" w:lineRule="exact"/>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192"/>
        </w:trPr>
        <w:tc>
          <w:tcPr>
            <w:tcW w:w="3040" w:type="dxa"/>
            <w:vAlign w:val="bottom"/>
            <w:tcBorders>
              <w:top w:val="single" w:sz="8" w:color="0000EE"/>
            </w:tcBorders>
            <w:gridSpan w:val="5"/>
          </w:tcPr>
          <w:p>
            <w:pPr>
              <w:spacing w:after="0" w:line="192" w:lineRule="exact"/>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OTHER MATTERS</w:t>
              </w:r>
            </w:hyperlink>
          </w:p>
        </w:tc>
        <w:tc>
          <w:tcPr>
            <w:tcW w:w="7580" w:type="dxa"/>
            <w:vAlign w:val="bottom"/>
            <w:gridSpan w:val="3"/>
          </w:tcPr>
          <w:p>
            <w:pPr>
              <w:spacing w:after="0"/>
              <w:rPr>
                <w:sz w:val="16"/>
                <w:szCs w:val="16"/>
                <w:color w:val="auto"/>
              </w:rPr>
            </w:pPr>
          </w:p>
        </w:tc>
        <w:tc>
          <w:tcPr>
            <w:tcW w:w="700" w:type="dxa"/>
            <w:vAlign w:val="bottom"/>
          </w:tcPr>
          <w:p>
            <w:pPr>
              <w:jc w:val="right"/>
              <w:spacing w:after="0" w:line="192" w:lineRule="exact"/>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3320" w:type="dxa"/>
            <w:vAlign w:val="bottom"/>
            <w:tcBorders>
              <w:bottom w:val="single" w:sz="8" w:color="0000EE"/>
            </w:tcBorders>
            <w:gridSpan w:val="5"/>
          </w:tcPr>
          <w:p>
            <w:pPr>
              <w:spacing w:after="0" w:line="192" w:lineRule="exact"/>
              <w:rPr>
                <w:rFonts w:ascii="Arial" w:cs="Arial" w:eastAsia="Arial" w:hAnsi="Arial"/>
                <w:sz w:val="18"/>
                <w:szCs w:val="18"/>
                <w:b w:val="1"/>
                <w:bCs w:val="1"/>
                <w:color w:val="0000EE"/>
                <w:w w:val="87"/>
              </w:rPr>
            </w:pPr>
            <w:hyperlink w:anchor="page24">
              <w:r>
                <w:rPr>
                  <w:rFonts w:ascii="Arial" w:cs="Arial" w:eastAsia="Arial" w:hAnsi="Arial"/>
                  <w:sz w:val="18"/>
                  <w:szCs w:val="18"/>
                  <w:b w:val="1"/>
                  <w:bCs w:val="1"/>
                  <w:color w:val="0000EE"/>
                  <w:w w:val="87"/>
                </w:rPr>
                <w:t>Independent Registered Public Accountants</w:t>
              </w:r>
            </w:hyperlink>
          </w:p>
        </w:tc>
        <w:tc>
          <w:tcPr>
            <w:tcW w:w="7100" w:type="dxa"/>
            <w:vAlign w:val="bottom"/>
            <w:gridSpan w:val="2"/>
          </w:tcPr>
          <w:p>
            <w:pPr>
              <w:spacing w:after="0"/>
              <w:rPr>
                <w:sz w:val="16"/>
                <w:szCs w:val="16"/>
                <w:color w:val="auto"/>
              </w:rPr>
            </w:pPr>
          </w:p>
        </w:tc>
        <w:tc>
          <w:tcPr>
            <w:tcW w:w="700" w:type="dxa"/>
            <w:vAlign w:val="bottom"/>
          </w:tcPr>
          <w:p>
            <w:pPr>
              <w:jc w:val="right"/>
              <w:spacing w:after="0" w:line="192" w:lineRule="exact"/>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1800" w:type="dxa"/>
            <w:vAlign w:val="bottom"/>
            <w:tcBorders>
              <w:bottom w:val="single" w:sz="8" w:color="0000EE"/>
            </w:tcBorders>
            <w:gridSpan w:val="3"/>
          </w:tcPr>
          <w:p>
            <w:pPr>
              <w:spacing w:after="0" w:line="192" w:lineRule="exact"/>
              <w:rPr>
                <w:rFonts w:ascii="Arial" w:cs="Arial" w:eastAsia="Arial" w:hAnsi="Arial"/>
                <w:sz w:val="18"/>
                <w:szCs w:val="18"/>
                <w:b w:val="1"/>
                <w:bCs w:val="1"/>
                <w:color w:val="0000EE"/>
                <w:w w:val="85"/>
              </w:rPr>
            </w:pPr>
            <w:hyperlink w:anchor="page25">
              <w:r>
                <w:rPr>
                  <w:rFonts w:ascii="Arial" w:cs="Arial" w:eastAsia="Arial" w:hAnsi="Arial"/>
                  <w:sz w:val="18"/>
                  <w:szCs w:val="18"/>
                  <w:b w:val="1"/>
                  <w:bCs w:val="1"/>
                  <w:color w:val="0000EE"/>
                  <w:w w:val="85"/>
                </w:rPr>
                <w:t>Expenses of Solicitation</w:t>
              </w:r>
            </w:hyperlink>
          </w:p>
        </w:tc>
        <w:tc>
          <w:tcPr>
            <w:tcW w:w="8620" w:type="dxa"/>
            <w:vAlign w:val="bottom"/>
            <w:gridSpan w:val="4"/>
          </w:tcPr>
          <w:p>
            <w:pPr>
              <w:spacing w:after="0"/>
              <w:rPr>
                <w:sz w:val="16"/>
                <w:szCs w:val="16"/>
                <w:color w:val="auto"/>
              </w:rPr>
            </w:pPr>
          </w:p>
        </w:tc>
        <w:tc>
          <w:tcPr>
            <w:tcW w:w="700" w:type="dxa"/>
            <w:vAlign w:val="bottom"/>
          </w:tcPr>
          <w:p>
            <w:pPr>
              <w:jc w:val="right"/>
              <w:spacing w:after="0" w:line="192" w:lineRule="exact"/>
              <w:rPr>
                <w:sz w:val="20"/>
                <w:szCs w:val="20"/>
                <w:color w:val="auto"/>
              </w:rPr>
            </w:pPr>
            <w:r>
              <w:rPr>
                <w:rFonts w:ascii="Arial" w:cs="Arial" w:eastAsia="Arial" w:hAnsi="Arial"/>
                <w:sz w:val="18"/>
                <w:szCs w:val="18"/>
                <w:b w:val="1"/>
                <w:bCs w:val="1"/>
                <w:color w:val="auto"/>
              </w:rPr>
              <w:t>19</w:t>
            </w: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5080" w:type="dxa"/>
            <w:vAlign w:val="bottom"/>
            <w:tcBorders>
              <w:bottom w:val="single" w:sz="8" w:color="0000EE"/>
            </w:tcBorders>
            <w:gridSpan w:val="6"/>
          </w:tcPr>
          <w:p>
            <w:pPr>
              <w:spacing w:after="0" w:line="192" w:lineRule="exact"/>
              <w:rPr>
                <w:rFonts w:ascii="Arial" w:cs="Arial" w:eastAsia="Arial" w:hAnsi="Arial"/>
                <w:sz w:val="18"/>
                <w:szCs w:val="18"/>
                <w:b w:val="1"/>
                <w:bCs w:val="1"/>
                <w:color w:val="0000EE"/>
                <w:w w:val="87"/>
              </w:rPr>
            </w:pPr>
            <w:hyperlink w:anchor="page25">
              <w:r>
                <w:rPr>
                  <w:rFonts w:ascii="Arial" w:cs="Arial" w:eastAsia="Arial" w:hAnsi="Arial"/>
                  <w:sz w:val="18"/>
                  <w:szCs w:val="18"/>
                  <w:b w:val="1"/>
                  <w:bCs w:val="1"/>
                  <w:color w:val="0000EE"/>
                  <w:w w:val="87"/>
                </w:rPr>
                <w:t>Shareholder Proposals &amp; Recommendations for Director Nominees</w:t>
              </w:r>
            </w:hyperlink>
          </w:p>
        </w:tc>
        <w:tc>
          <w:tcPr>
            <w:tcW w:w="5340" w:type="dxa"/>
            <w:vAlign w:val="bottom"/>
          </w:tcPr>
          <w:p>
            <w:pPr>
              <w:spacing w:after="0"/>
              <w:rPr>
                <w:sz w:val="16"/>
                <w:szCs w:val="16"/>
                <w:color w:val="auto"/>
              </w:rPr>
            </w:pPr>
          </w:p>
        </w:tc>
        <w:tc>
          <w:tcPr>
            <w:tcW w:w="700" w:type="dxa"/>
            <w:vAlign w:val="bottom"/>
          </w:tcPr>
          <w:p>
            <w:pPr>
              <w:jc w:val="right"/>
              <w:spacing w:after="0" w:line="192" w:lineRule="exact"/>
              <w:rPr>
                <w:sz w:val="20"/>
                <w:szCs w:val="20"/>
                <w:color w:val="auto"/>
              </w:rPr>
            </w:pPr>
            <w:r>
              <w:rPr>
                <w:rFonts w:ascii="Arial" w:cs="Arial" w:eastAsia="Arial" w:hAnsi="Arial"/>
                <w:sz w:val="18"/>
                <w:szCs w:val="18"/>
                <w:b w:val="1"/>
                <w:bCs w:val="1"/>
                <w:color w:val="auto"/>
              </w:rPr>
              <w:t>19</w:t>
            </w: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620" w:type="dxa"/>
            <w:vAlign w:val="bottom"/>
            <w:tcBorders>
              <w:bottom w:val="single" w:sz="8" w:color="0000EE"/>
            </w:tcBorders>
          </w:tcPr>
          <w:p>
            <w:pPr>
              <w:spacing w:after="0" w:line="192" w:lineRule="exact"/>
              <w:rPr>
                <w:rFonts w:ascii="Arial" w:cs="Arial" w:eastAsia="Arial" w:hAnsi="Arial"/>
                <w:sz w:val="18"/>
                <w:szCs w:val="18"/>
                <w:b w:val="1"/>
                <w:bCs w:val="1"/>
                <w:color w:val="0000EE"/>
                <w:w w:val="89"/>
              </w:rPr>
            </w:pPr>
            <w:hyperlink w:anchor="page25">
              <w:r>
                <w:rPr>
                  <w:rFonts w:ascii="Arial" w:cs="Arial" w:eastAsia="Arial" w:hAnsi="Arial"/>
                  <w:sz w:val="18"/>
                  <w:szCs w:val="18"/>
                  <w:b w:val="1"/>
                  <w:bCs w:val="1"/>
                  <w:color w:val="0000EE"/>
                  <w:w w:val="89"/>
                </w:rPr>
                <w:t>General</w:t>
              </w:r>
            </w:hyperlink>
          </w:p>
        </w:tc>
        <w:tc>
          <w:tcPr>
            <w:tcW w:w="9800" w:type="dxa"/>
            <w:vAlign w:val="bottom"/>
            <w:gridSpan w:val="6"/>
          </w:tcPr>
          <w:p>
            <w:pPr>
              <w:spacing w:after="0"/>
              <w:rPr>
                <w:sz w:val="16"/>
                <w:szCs w:val="16"/>
                <w:color w:val="auto"/>
              </w:rPr>
            </w:pPr>
          </w:p>
        </w:tc>
        <w:tc>
          <w:tcPr>
            <w:tcW w:w="700" w:type="dxa"/>
            <w:vAlign w:val="bottom"/>
          </w:tcPr>
          <w:p>
            <w:pPr>
              <w:jc w:val="right"/>
              <w:spacing w:after="0" w:line="192" w:lineRule="exact"/>
              <w:rPr>
                <w:sz w:val="20"/>
                <w:szCs w:val="20"/>
                <w:color w:val="auto"/>
              </w:rPr>
            </w:pPr>
            <w:r>
              <w:rPr>
                <w:rFonts w:ascii="Arial" w:cs="Arial" w:eastAsia="Arial" w:hAnsi="Arial"/>
                <w:sz w:val="18"/>
                <w:szCs w:val="18"/>
                <w:b w:val="1"/>
                <w:bCs w:val="1"/>
                <w:color w:val="auto"/>
              </w:rPr>
              <w:t>19</w:t>
            </w:r>
          </w:p>
        </w:tc>
        <w:tc>
          <w:tcPr>
            <w:tcW w:w="0" w:type="dxa"/>
            <w:vAlign w:val="bottom"/>
          </w:tcPr>
          <w:p>
            <w:pPr>
              <w:spacing w:after="0"/>
              <w:rPr>
                <w:sz w:val="1"/>
                <w:szCs w:val="1"/>
                <w:color w:val="auto"/>
              </w:rPr>
            </w:pPr>
          </w:p>
        </w:tc>
      </w:tr>
    </w:tbl>
    <w:p>
      <w:pPr>
        <w:spacing w:after="0" w:line="20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20"/>
          </w:cols>
          <w:pgMar w:left="240" w:top="413"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2445385</wp:posOffset>
            </wp:positionH>
            <wp:positionV relativeFrom="paragraph">
              <wp:posOffset>200025</wp:posOffset>
            </wp:positionV>
            <wp:extent cx="2374265" cy="7575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374265" cy="757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24, 2005</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63 HIGHWAY 515</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BLAIRSVILLE, GEORGIA 30514-0398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3077210</wp:posOffset>
            </wp:positionH>
            <wp:positionV relativeFrom="paragraph">
              <wp:posOffset>113665</wp:posOffset>
            </wp:positionV>
            <wp:extent cx="110299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3077210</wp:posOffset>
            </wp:positionH>
            <wp:positionV relativeFrom="paragraph">
              <wp:posOffset>124460</wp:posOffset>
            </wp:positionV>
            <wp:extent cx="110299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349" w:lineRule="exact"/>
        <w:rPr>
          <w:sz w:val="20"/>
          <w:szCs w:val="20"/>
          <w:color w:val="auto"/>
        </w:rPr>
      </w:pPr>
    </w:p>
    <w:p>
      <w:pPr>
        <w:jc w:val="both"/>
        <w:ind w:right="360" w:firstLine="218"/>
        <w:spacing w:after="0" w:line="255" w:lineRule="auto"/>
        <w:rPr>
          <w:sz w:val="20"/>
          <w:szCs w:val="20"/>
          <w:color w:val="auto"/>
        </w:rPr>
      </w:pPr>
      <w:r>
        <w:rPr>
          <w:rFonts w:ascii="Arial" w:cs="Arial" w:eastAsia="Arial" w:hAnsi="Arial"/>
          <w:sz w:val="18"/>
          <w:szCs w:val="18"/>
          <w:color w:val="auto"/>
        </w:rPr>
        <w:t>This proxy statement is furnished in connection with the solicitation of proxies by the Board of Directors of United Community Banks, Inc. for use at the 2005 Annual Meeting of Shareholders to be held on Wednesday, April 27, 2005 at 2:00 p.m., at Brasstown Valley Resort, Young Harris, Georgia, and at any adjournments or postponements of the annual meeting.</w:t>
      </w:r>
    </w:p>
    <w:p>
      <w:pPr>
        <w:spacing w:after="0" w:line="156" w:lineRule="exact"/>
        <w:rPr>
          <w:sz w:val="20"/>
          <w:szCs w:val="20"/>
          <w:color w:val="auto"/>
        </w:rPr>
      </w:pPr>
    </w:p>
    <w:p>
      <w:pPr>
        <w:ind w:right="3120" w:firstLine="3125"/>
        <w:spacing w:after="0" w:line="449" w:lineRule="auto"/>
        <w:rPr>
          <w:sz w:val="20"/>
          <w:szCs w:val="20"/>
          <w:color w:val="auto"/>
        </w:rPr>
      </w:pPr>
      <w:r>
        <w:rPr>
          <w:rFonts w:ascii="Arial" w:cs="Arial" w:eastAsia="Arial" w:hAnsi="Arial"/>
          <w:sz w:val="18"/>
          <w:szCs w:val="18"/>
          <w:b w:val="1"/>
          <w:bCs w:val="1"/>
          <w:color w:val="auto"/>
        </w:rPr>
        <w:t>QUESTIONS AND ANSWERS ABOUT THE ANNUAL MEETING What is the purpose of the annual meeting?</w:t>
      </w:r>
    </w:p>
    <w:p>
      <w:pPr>
        <w:spacing w:after="0" w:line="1" w:lineRule="exact"/>
        <w:rPr>
          <w:sz w:val="20"/>
          <w:szCs w:val="20"/>
          <w:color w:val="auto"/>
        </w:rPr>
      </w:pPr>
    </w:p>
    <w:p>
      <w:pPr>
        <w:ind w:right="120" w:firstLine="211"/>
        <w:spacing w:after="0" w:line="265" w:lineRule="auto"/>
        <w:rPr>
          <w:sz w:val="20"/>
          <w:szCs w:val="20"/>
          <w:color w:val="auto"/>
        </w:rPr>
      </w:pPr>
      <w:r>
        <w:rPr>
          <w:rFonts w:ascii="Arial" w:cs="Arial" w:eastAsia="Arial" w:hAnsi="Arial"/>
          <w:sz w:val="18"/>
          <w:szCs w:val="18"/>
          <w:color w:val="auto"/>
        </w:rPr>
        <w:t>At the annual meeting, shareholders will act upon the matters set forth in the accompanying notice of meeting, including the election of eleven directors, and any other matters that may properly come before the meeting.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w:t>
      </w:r>
    </w:p>
    <w:p>
      <w:pPr>
        <w:spacing w:after="0" w:line="184" w:lineRule="exact"/>
        <w:rPr>
          <w:sz w:val="20"/>
          <w:szCs w:val="20"/>
          <w:color w:val="auto"/>
        </w:rPr>
      </w:pPr>
    </w:p>
    <w:p>
      <w:pPr>
        <w:jc w:val="both"/>
        <w:ind w:right="20" w:firstLine="211"/>
        <w:spacing w:after="0" w:line="255" w:lineRule="auto"/>
        <w:rPr>
          <w:sz w:val="20"/>
          <w:szCs w:val="20"/>
          <w:color w:val="auto"/>
        </w:rPr>
      </w:pPr>
      <w:r>
        <w:rPr>
          <w:rFonts w:ascii="Arial" w:cs="Arial" w:eastAsia="Arial" w:hAnsi="Arial"/>
          <w:sz w:val="18"/>
          <w:szCs w:val="18"/>
          <w:color w:val="auto"/>
        </w:rPr>
        <w:t>All shareholders of record of United’s common stock at the close of business on March 9, 2005, which is referred to as the record date, are entitled to receive notice of the annual meeting and to vote the shares of common stock held by them on the record date. Each outstanding share of common stock entitles its holder to cast one vote for each matter to be voted upon.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pacing w:after="0" w:line="197" w:lineRule="exact"/>
        <w:rPr>
          <w:sz w:val="20"/>
          <w:szCs w:val="20"/>
          <w:color w:val="auto"/>
        </w:rPr>
      </w:pPr>
    </w:p>
    <w:p>
      <w:pPr>
        <w:ind w:right="100" w:firstLine="221"/>
        <w:spacing w:after="0" w:line="255" w:lineRule="auto"/>
        <w:rPr>
          <w:sz w:val="20"/>
          <w:szCs w:val="20"/>
          <w:color w:val="auto"/>
        </w:rPr>
      </w:pPr>
      <w:r>
        <w:rPr>
          <w:rFonts w:ascii="Arial" w:cs="Arial" w:eastAsia="Arial" w:hAnsi="Arial"/>
          <w:sz w:val="18"/>
          <w:szCs w:val="18"/>
          <w:color w:val="auto"/>
        </w:rPr>
        <w:t>If you hold your shares of common stock in your own name as a holder of record, you may vote in person at the annual meeting or instruct the proxy holders named in the enclosed proxy card how to vote your shares by marking, signing, dating and returning the proxy card in the postage-paid envelope that we have provided to you.</w:t>
      </w:r>
    </w:p>
    <w:p>
      <w:pPr>
        <w:spacing w:after="0" w:line="149" w:lineRule="exact"/>
        <w:rPr>
          <w:sz w:val="20"/>
          <w:szCs w:val="20"/>
          <w:color w:val="auto"/>
        </w:rPr>
      </w:pPr>
    </w:p>
    <w:p>
      <w:pPr>
        <w:ind w:right="220" w:firstLine="221"/>
        <w:spacing w:after="0" w:line="265" w:lineRule="auto"/>
        <w:rPr>
          <w:sz w:val="20"/>
          <w:szCs w:val="20"/>
          <w:color w:val="auto"/>
        </w:rPr>
      </w:pPr>
      <w:r>
        <w:rPr>
          <w:rFonts w:ascii="Arial" w:cs="Arial" w:eastAsia="Arial" w:hAnsi="Arial"/>
          <w:sz w:val="18"/>
          <w:szCs w:val="18"/>
          <w:color w:val="auto"/>
        </w:rPr>
        <w:t>If your shares of common stock are held by a broker, bank or other nominee (i.e., in “street name”), you will receive instructions from your nominee which you must follow in order to have your shares voted.</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Proxies that are executed, but do not contain any specific instructions, will be voted “FOR” the proposals specified herein.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the quorum and voting requirements?</w:t>
      </w:r>
    </w:p>
    <w:p>
      <w:pPr>
        <w:spacing w:after="0" w:line="197" w:lineRule="exact"/>
        <w:rPr>
          <w:sz w:val="20"/>
          <w:szCs w:val="20"/>
          <w:color w:val="auto"/>
        </w:rPr>
      </w:pPr>
    </w:p>
    <w:p>
      <w:pPr>
        <w:jc w:val="both"/>
        <w:ind w:right="160" w:firstLine="218"/>
        <w:spacing w:after="0" w:line="255" w:lineRule="auto"/>
        <w:rPr>
          <w:sz w:val="20"/>
          <w:szCs w:val="20"/>
          <w:color w:val="auto"/>
        </w:rPr>
      </w:pPr>
      <w:r>
        <w:rPr>
          <w:rFonts w:ascii="Arial" w:cs="Arial" w:eastAsia="Arial" w:hAnsi="Arial"/>
          <w:sz w:val="18"/>
          <w:szCs w:val="18"/>
          <w:color w:val="auto"/>
        </w:rPr>
        <w:t>The presence, in person or by proxy, of holders of at least a majority of the total number of outstanding shares of common stock entitled to vote is necessary to constitute a quorum for the transaction of business at the annual meeting. As of the record date, there were 38,232,414 shares of common stock outstanding and entitled to vote at the annual meeting.</w:t>
      </w:r>
    </w:p>
    <w:p>
      <w:pPr>
        <w:spacing w:after="0" w:line="14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required vote for each item of business at the annual meeting is as follows:</w:t>
      </w:r>
    </w:p>
    <w:p>
      <w:pPr>
        <w:spacing w:after="0" w:line="217" w:lineRule="exact"/>
        <w:rPr>
          <w:sz w:val="20"/>
          <w:szCs w:val="20"/>
          <w:color w:val="auto"/>
        </w:rPr>
      </w:pPr>
    </w:p>
    <w:p>
      <w:pPr>
        <w:ind w:left="1020" w:right="120" w:hanging="444"/>
        <w:spacing w:after="0" w:line="265"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election of directors, those nominees receiving the greatest number of votes at the annual meeting, assuming a quorum is present, shall be deemed elected, even though the nominees may not receive a majority of the votes cast.</w:t>
      </w:r>
    </w:p>
    <w:p>
      <w:pPr>
        <w:spacing w:after="0" w:line="179" w:lineRule="exact"/>
        <w:rPr>
          <w:rFonts w:ascii="Arial" w:cs="Arial" w:eastAsia="Arial" w:hAnsi="Arial"/>
          <w:sz w:val="18"/>
          <w:szCs w:val="18"/>
          <w:color w:val="auto"/>
        </w:rPr>
      </w:pPr>
    </w:p>
    <w:p>
      <w:pPr>
        <w:ind w:left="1020" w:right="200" w:hanging="444"/>
        <w:spacing w:after="0" w:line="265"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any other business at the annual meeting, the vote of a majority of the shares voted on the matter, assuming a quorum is present, shall be the act of the shareholders on that matter, unless the vote of a greater number is required by law.</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votes counted?</w:t>
      </w:r>
    </w:p>
    <w:p>
      <w:pPr>
        <w:spacing w:after="0" w:line="184" w:lineRule="exact"/>
        <w:rPr>
          <w:sz w:val="20"/>
          <w:szCs w:val="20"/>
          <w:color w:val="auto"/>
        </w:rPr>
      </w:pPr>
    </w:p>
    <w:p>
      <w:pPr>
        <w:ind w:right="20" w:firstLine="211"/>
        <w:spacing w:after="0" w:line="271" w:lineRule="auto"/>
        <w:rPr>
          <w:sz w:val="20"/>
          <w:szCs w:val="20"/>
          <w:color w:val="auto"/>
        </w:rPr>
      </w:pPr>
      <w:r>
        <w:rPr>
          <w:rFonts w:ascii="Arial" w:cs="Arial" w:eastAsia="Arial" w:hAnsi="Arial"/>
          <w:sz w:val="17"/>
          <w:szCs w:val="17"/>
          <w:color w:val="auto"/>
        </w:rPr>
        <w:t>Abstentions and “broker non-votes” will be counted only for purposes of establishing a quorum, but will not otherwise affect the vote. “Broker non-votes” are proxies received from brokers or other nominees holding shares on behalf of their clients (in “street name”) who have not been given specific voting instructions from their clients with respect to non-routine matters. However, typically the election of directors is considered a routine matter by brokers and other nominees allowing them to have discretionary voting power to vote such shares for the election of directors.</w:t>
      </w:r>
    </w:p>
    <w:p>
      <w:pPr>
        <w:spacing w:after="0" w:line="151" w:lineRule="exact"/>
        <w:rPr>
          <w:sz w:val="20"/>
          <w:szCs w:val="20"/>
          <w:color w:val="auto"/>
        </w:rPr>
      </w:pPr>
    </w:p>
    <w:p>
      <w:pPr>
        <w:ind w:firstLine="221"/>
        <w:spacing w:after="0" w:line="277" w:lineRule="auto"/>
        <w:rPr>
          <w:sz w:val="20"/>
          <w:szCs w:val="20"/>
          <w:color w:val="auto"/>
        </w:rPr>
      </w:pPr>
      <w:r>
        <w:rPr>
          <w:rFonts w:ascii="Arial" w:cs="Arial" w:eastAsia="Arial" w:hAnsi="Arial"/>
          <w:sz w:val="17"/>
          <w:szCs w:val="17"/>
          <w:color w:val="auto"/>
        </w:rPr>
        <w:t>Because directors are elected by a plurality of the votes cast, the directors that get the most votes will be elected even if such votes do no constitute a majority. Directors cannot be voted “against” and votes to “withhold authority” to vote for a certain nominee will have no effect if the nominee receives a plurality of the votes cast. For all other proposals that come before the meeting, you may vote “for” or “against” the proposal.</w:t>
      </w:r>
    </w:p>
    <w:p>
      <w:pPr>
        <w:spacing w:after="0" w:line="132" w:lineRule="exact"/>
        <w:rPr>
          <w:sz w:val="20"/>
          <w:szCs w:val="20"/>
          <w:color w:val="auto"/>
        </w:rPr>
      </w:pPr>
    </w:p>
    <w:p>
      <w:pPr>
        <w:ind w:right="380" w:firstLine="221"/>
        <w:spacing w:after="0" w:line="265" w:lineRule="auto"/>
        <w:rPr>
          <w:sz w:val="20"/>
          <w:szCs w:val="20"/>
          <w:color w:val="auto"/>
        </w:rPr>
      </w:pPr>
      <w:r>
        <w:rPr>
          <w:rFonts w:ascii="Arial" w:cs="Arial" w:eastAsia="Arial" w:hAnsi="Arial"/>
          <w:sz w:val="18"/>
          <w:szCs w:val="18"/>
          <w:color w:val="auto"/>
        </w:rPr>
        <w:t>If you hold your shares of common stock in your own name as a holder of record, and you fail to vote your shares, either in person or by proxy, the votes represented by your shares will be excluded entirely from the vote.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other matters be voted on at the annual meeting?</w:t>
      </w:r>
    </w:p>
    <w:p>
      <w:pPr>
        <w:spacing w:after="0" w:line="197" w:lineRule="exact"/>
        <w:rPr>
          <w:sz w:val="20"/>
          <w:szCs w:val="20"/>
          <w:color w:val="auto"/>
        </w:rPr>
      </w:pPr>
    </w:p>
    <w:p>
      <w:pPr>
        <w:ind w:right="540" w:firstLine="218"/>
        <w:spacing w:after="0" w:line="366" w:lineRule="auto"/>
        <w:rPr>
          <w:sz w:val="20"/>
          <w:szCs w:val="20"/>
          <w:color w:val="auto"/>
        </w:rPr>
      </w:pPr>
      <w:r>
        <w:rPr>
          <w:rFonts w:ascii="Arial" w:cs="Arial" w:eastAsia="Arial" w:hAnsi="Arial"/>
          <w:sz w:val="15"/>
          <w:szCs w:val="15"/>
          <w:color w:val="auto"/>
        </w:rPr>
        <w:t>We are not aware of any other matters to be presented at the annual meeting other than those described in this proxy statement. If any other matters not described in the proxy statement are properly presented at the meeting, proxies will be voted in accordance with the best judgment of the proxy holders.</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revoke my proxy instructions?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You may revoke your proxy by:</w:t>
      </w:r>
    </w:p>
    <w:p>
      <w:pPr>
        <w:spacing w:after="0" w:line="217" w:lineRule="exact"/>
        <w:rPr>
          <w:sz w:val="20"/>
          <w:szCs w:val="20"/>
          <w:color w:val="auto"/>
        </w:rPr>
      </w:pPr>
    </w:p>
    <w:p>
      <w:pPr>
        <w:ind w:left="1460" w:right="4680" w:hanging="884"/>
        <w:spacing w:after="0" w:line="265" w:lineRule="auto"/>
        <w:tabs>
          <w:tab w:leader="none" w:pos="1018"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filing a written revocation with the Secretary of United at the following address: </w:t>
      </w:r>
      <w:r>
        <w:rPr>
          <w:rFonts w:ascii="Arial" w:cs="Arial" w:eastAsia="Arial" w:hAnsi="Arial"/>
          <w:sz w:val="18"/>
          <w:szCs w:val="18"/>
          <w:b w:val="1"/>
          <w:bCs w:val="1"/>
          <w:color w:val="auto"/>
        </w:rPr>
        <w:t>P.O. Box 398, Blairsville, Georgia 30514</w:t>
      </w:r>
      <w:r>
        <w:rPr>
          <w:rFonts w:ascii="Arial" w:cs="Arial" w:eastAsia="Arial" w:hAnsi="Arial"/>
          <w:sz w:val="18"/>
          <w:szCs w:val="18"/>
          <w:color w:val="auto"/>
        </w:rPr>
        <w:t>;</w:t>
      </w:r>
    </w:p>
    <w:p>
      <w:pPr>
        <w:spacing w:after="0" w:line="179" w:lineRule="exact"/>
        <w:rPr>
          <w:rFonts w:ascii="Arial" w:cs="Arial" w:eastAsia="Arial" w:hAnsi="Arial"/>
          <w:sz w:val="18"/>
          <w:szCs w:val="18"/>
          <w:color w:val="auto"/>
        </w:rPr>
      </w:pPr>
    </w:p>
    <w:p>
      <w:pPr>
        <w:ind w:left="1020" w:hanging="444"/>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filing a duly executed proxy bearing a later date; or</w:t>
      </w:r>
    </w:p>
    <w:p>
      <w:pPr>
        <w:spacing w:after="0" w:line="217" w:lineRule="exact"/>
        <w:rPr>
          <w:rFonts w:ascii="Arial" w:cs="Arial" w:eastAsia="Arial" w:hAnsi="Arial"/>
          <w:sz w:val="18"/>
          <w:szCs w:val="18"/>
          <w:color w:val="auto"/>
        </w:rPr>
      </w:pPr>
    </w:p>
    <w:p>
      <w:pPr>
        <w:ind w:left="1020" w:hanging="444"/>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appearing in person and electing to vote by ballot at the annual meeting.</w:t>
      </w:r>
    </w:p>
    <w:p>
      <w:pPr>
        <w:spacing w:after="0" w:line="217" w:lineRule="exact"/>
        <w:rPr>
          <w:sz w:val="20"/>
          <w:szCs w:val="20"/>
          <w:color w:val="auto"/>
        </w:rPr>
      </w:pPr>
    </w:p>
    <w:p>
      <w:pPr>
        <w:ind w:right="100" w:firstLine="211"/>
        <w:spacing w:after="0" w:line="366" w:lineRule="auto"/>
        <w:rPr>
          <w:sz w:val="20"/>
          <w:szCs w:val="20"/>
          <w:color w:val="auto"/>
        </w:rPr>
      </w:pPr>
      <w:r>
        <w:rPr>
          <w:rFonts w:ascii="Arial" w:cs="Arial" w:eastAsia="Arial" w:hAnsi="Arial"/>
          <w:sz w:val="15"/>
          <w:szCs w:val="15"/>
          <w:color w:val="auto"/>
        </w:rPr>
        <w:t>Any shareholder of record as of the record date attending the annual meeting may vote in person by ballot whether or not a proxy has been previously given, but the presence (without further action) of a shareholder at the annual meeting will not constitute revocation of a previously given proxy.</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other information should I review before voting?</w:t>
      </w:r>
    </w:p>
    <w:p>
      <w:pPr>
        <w:spacing w:after="0" w:line="184" w:lineRule="exact"/>
        <w:rPr>
          <w:sz w:val="20"/>
          <w:szCs w:val="20"/>
          <w:color w:val="auto"/>
        </w:rPr>
      </w:pPr>
    </w:p>
    <w:p>
      <w:pPr>
        <w:ind w:right="420" w:firstLine="218"/>
        <w:spacing w:after="0" w:line="255" w:lineRule="auto"/>
        <w:rPr>
          <w:sz w:val="20"/>
          <w:szCs w:val="20"/>
          <w:color w:val="auto"/>
        </w:rPr>
      </w:pPr>
      <w:r>
        <w:rPr>
          <w:rFonts w:ascii="Arial" w:cs="Arial" w:eastAsia="Arial" w:hAnsi="Arial"/>
          <w:sz w:val="18"/>
          <w:szCs w:val="18"/>
          <w:color w:val="auto"/>
        </w:rPr>
        <w:t>The 2004 annual report to shareholders and the annual report on Form 10-K filed with the Securities and Exchange Commission, including financial statements for the year ended December 31, 2004, is included with this proxy statement. The annual report is not part of the proxy solicitation material. An additional copy of our annual report on Form 10-K may be obtained without charge by:</w:t>
      </w:r>
    </w:p>
    <w:p>
      <w:pPr>
        <w:spacing w:after="0" w:line="189" w:lineRule="exact"/>
        <w:rPr>
          <w:sz w:val="20"/>
          <w:szCs w:val="20"/>
          <w:color w:val="auto"/>
        </w:rPr>
      </w:pPr>
    </w:p>
    <w:p>
      <w:pPr>
        <w:ind w:left="1020" w:hanging="444"/>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accessing United’s web site at ucbi.com;</w:t>
      </w:r>
    </w:p>
    <w:p>
      <w:pPr>
        <w:spacing w:after="0" w:line="217" w:lineRule="exact"/>
        <w:rPr>
          <w:rFonts w:ascii="Arial" w:cs="Arial" w:eastAsia="Arial" w:hAnsi="Arial"/>
          <w:sz w:val="18"/>
          <w:szCs w:val="18"/>
          <w:color w:val="auto"/>
        </w:rPr>
      </w:pPr>
    </w:p>
    <w:p>
      <w:pPr>
        <w:jc w:val="center"/>
        <w:ind w:left="1460" w:right="6180" w:hanging="884"/>
        <w:spacing w:after="0" w:line="366" w:lineRule="auto"/>
        <w:tabs>
          <w:tab w:leader="none" w:pos="1018" w:val="left"/>
        </w:tabs>
        <w:numPr>
          <w:ilvl w:val="0"/>
          <w:numId w:val="8"/>
        </w:numPr>
        <w:rPr>
          <w:rFonts w:ascii="Arial" w:cs="Arial" w:eastAsia="Arial" w:hAnsi="Arial"/>
          <w:sz w:val="15"/>
          <w:szCs w:val="15"/>
          <w:color w:val="auto"/>
        </w:rPr>
      </w:pPr>
      <w:r>
        <w:rPr>
          <w:rFonts w:ascii="Arial" w:cs="Arial" w:eastAsia="Arial" w:hAnsi="Arial"/>
          <w:sz w:val="15"/>
          <w:szCs w:val="15"/>
          <w:color w:val="auto"/>
        </w:rPr>
        <w:t xml:space="preserve">writing to the Secretary of United at the following address: </w:t>
      </w:r>
      <w:r>
        <w:rPr>
          <w:rFonts w:ascii="Arial" w:cs="Arial" w:eastAsia="Arial" w:hAnsi="Arial"/>
          <w:sz w:val="15"/>
          <w:szCs w:val="15"/>
          <w:b w:val="1"/>
          <w:bCs w:val="1"/>
          <w:color w:val="auto"/>
        </w:rPr>
        <w:t>P.O. Box 398, Blairsville, Georgia 30514</w:t>
      </w:r>
      <w:r>
        <w:rPr>
          <w:rFonts w:ascii="Arial" w:cs="Arial" w:eastAsia="Arial" w:hAnsi="Arial"/>
          <w:sz w:val="15"/>
          <w:szCs w:val="15"/>
          <w:color w:val="auto"/>
        </w:rPr>
        <w:t>; or</w:t>
      </w:r>
    </w:p>
    <w:p>
      <w:pPr>
        <w:spacing w:after="0" w:line="110" w:lineRule="exact"/>
        <w:rPr>
          <w:rFonts w:ascii="Arial" w:cs="Arial" w:eastAsia="Arial" w:hAnsi="Arial"/>
          <w:sz w:val="15"/>
          <w:szCs w:val="15"/>
          <w:color w:val="auto"/>
        </w:rPr>
      </w:pPr>
    </w:p>
    <w:p>
      <w:pPr>
        <w:ind w:left="1020" w:hanging="444"/>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accessing the EDGAR database at the SEC’s website at www.sec.gov.</w:t>
      </w:r>
    </w:p>
    <w:p>
      <w:pPr>
        <w:spacing w:after="0" w:line="217" w:lineRule="exact"/>
        <w:rPr>
          <w:sz w:val="20"/>
          <w:szCs w:val="20"/>
          <w:color w:val="auto"/>
        </w:rPr>
      </w:pPr>
    </w:p>
    <w:p>
      <w:pPr>
        <w:ind w:firstLine="214"/>
        <w:spacing w:after="0" w:line="294" w:lineRule="auto"/>
        <w:rPr>
          <w:sz w:val="20"/>
          <w:szCs w:val="20"/>
          <w:color w:val="auto"/>
        </w:rPr>
      </w:pPr>
      <w:r>
        <w:rPr>
          <w:rFonts w:ascii="Arial" w:cs="Arial" w:eastAsia="Arial" w:hAnsi="Arial"/>
          <w:sz w:val="17"/>
          <w:szCs w:val="17"/>
          <w:color w:val="auto"/>
        </w:rPr>
        <w:t>You may also obtain copies of our Form 10-K from the SEC at prescribed rates by writing to the Public Reference Section of the SEC, 450 Fifth Street, N.W., Washington, D.C. 20549. Please call the SEC at (800) SEC-0330 for further information on the SEC’s public reference rooms.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ELECTION OF DIRECTORS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84" w:lineRule="exact"/>
        <w:rPr>
          <w:sz w:val="20"/>
          <w:szCs w:val="20"/>
          <w:color w:val="auto"/>
        </w:rPr>
      </w:pPr>
    </w:p>
    <w:p>
      <w:pPr>
        <w:ind w:right="20" w:firstLine="218"/>
        <w:spacing w:after="0" w:line="252" w:lineRule="auto"/>
        <w:rPr>
          <w:sz w:val="20"/>
          <w:szCs w:val="20"/>
          <w:color w:val="auto"/>
        </w:rPr>
      </w:pPr>
      <w:r>
        <w:rPr>
          <w:rFonts w:ascii="Arial" w:cs="Arial" w:eastAsia="Arial" w:hAnsi="Arial"/>
          <w:sz w:val="18"/>
          <w:szCs w:val="18"/>
          <w:color w:val="auto"/>
        </w:rPr>
        <w:t>The Bylaws of United provide that the number of directors may range from eight to fourteen. The Board of Directors of United has set the number of directors at eleven. The number of directors may be increased or decreased from time to time by the Board of Directors by resolution, but no decrease shall have the effect of shortening the term of an incumbent director. The terms of office for directors continue until the next annual meeting and until their successors are elected and qualified.</w:t>
      </w:r>
    </w:p>
    <w:p>
      <w:pPr>
        <w:spacing w:after="0" w:line="165" w:lineRule="exact"/>
        <w:rPr>
          <w:sz w:val="20"/>
          <w:szCs w:val="20"/>
          <w:color w:val="auto"/>
        </w:rPr>
      </w:pPr>
    </w:p>
    <w:p>
      <w:pPr>
        <w:ind w:right="80" w:firstLine="221"/>
        <w:spacing w:after="0" w:line="250" w:lineRule="auto"/>
        <w:rPr>
          <w:sz w:val="20"/>
          <w:szCs w:val="20"/>
          <w:color w:val="auto"/>
        </w:rPr>
      </w:pPr>
      <w:r>
        <w:rPr>
          <w:rFonts w:ascii="Arial" w:cs="Arial" w:eastAsia="Arial" w:hAnsi="Arial"/>
          <w:sz w:val="18"/>
          <w:szCs w:val="18"/>
          <w:color w:val="auto"/>
        </w:rPr>
        <w:t>Each proxy executed and returned by a shareholder will be voted as specified thereon by the shareholder. If no specification is made, the proxy will be voted for the election of the nominees named below to constitute the entire Board of Directors. If any nominee withdraws or for any reason is not able to serve as a director, the proxy will be voted for such other person as may be designated by the Board of Directors as a substitute nominee, but in no event will the proxy be voted for more than eleven nominees. Management of United has no reason to believe that any nominee will not serve if elected. All of the nominees are currently directors of United.</w:t>
      </w:r>
    </w:p>
    <w:p>
      <w:pPr>
        <w:spacing w:after="0" w:line="155" w:lineRule="exact"/>
        <w:rPr>
          <w:sz w:val="20"/>
          <w:szCs w:val="20"/>
          <w:color w:val="auto"/>
        </w:rPr>
      </w:pPr>
    </w:p>
    <w:p>
      <w:pPr>
        <w:ind w:right="220" w:firstLine="221"/>
        <w:spacing w:after="0" w:line="366" w:lineRule="auto"/>
        <w:rPr>
          <w:sz w:val="20"/>
          <w:szCs w:val="20"/>
          <w:color w:val="auto"/>
        </w:rPr>
      </w:pPr>
      <w:r>
        <w:rPr>
          <w:rFonts w:ascii="Arial" w:cs="Arial" w:eastAsia="Arial" w:hAnsi="Arial"/>
          <w:sz w:val="15"/>
          <w:szCs w:val="15"/>
          <w:color w:val="auto"/>
        </w:rPr>
        <w:t>Directors are elected by a plurality of the votes cast by the holders of the shares entitled to vote in an election at a meeting at which a quorum is present. A quorum is present when the holders of a majority of the shares outstanding on the record date are present at a meeting in person or by proxy. An</w:t>
      </w:r>
    </w:p>
    <w:p>
      <w:pPr>
        <w:spacing w:after="0" w:line="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260"/>
        <w:spacing w:after="0" w:line="265" w:lineRule="auto"/>
        <w:rPr>
          <w:sz w:val="20"/>
          <w:szCs w:val="20"/>
          <w:color w:val="auto"/>
        </w:rPr>
      </w:pPr>
      <w:r>
        <w:rPr>
          <w:rFonts w:ascii="Arial" w:cs="Arial" w:eastAsia="Arial" w:hAnsi="Arial"/>
          <w:sz w:val="18"/>
          <w:szCs w:val="18"/>
          <w:color w:val="auto"/>
        </w:rPr>
        <w:t>abstention or a broker non-vote would be included in determining whether a quorum is present at a meeting, but would not have an effect on the outcome of a vote.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Regarding Nominees for Director</w:t>
      </w:r>
    </w:p>
    <w:p>
      <w:pPr>
        <w:spacing w:after="0" w:line="184" w:lineRule="exact"/>
        <w:rPr>
          <w:sz w:val="20"/>
          <w:szCs w:val="20"/>
          <w:color w:val="auto"/>
        </w:rPr>
      </w:pPr>
    </w:p>
    <w:p>
      <w:pPr>
        <w:ind w:right="140" w:firstLine="218"/>
        <w:spacing w:after="0" w:line="294" w:lineRule="auto"/>
        <w:rPr>
          <w:sz w:val="20"/>
          <w:szCs w:val="20"/>
          <w:color w:val="auto"/>
        </w:rPr>
      </w:pPr>
      <w:r>
        <w:rPr>
          <w:rFonts w:ascii="Arial" w:cs="Arial" w:eastAsia="Arial" w:hAnsi="Arial"/>
          <w:sz w:val="17"/>
          <w:szCs w:val="17"/>
          <w:color w:val="auto"/>
        </w:rPr>
        <w:t>The following information has been furnished by the respective nominees for director as of March 1, 2005. Except as otherwise indicated, each nominee has been or was engaged in his present or last principal employment, in the same or a similar position, for more than five years.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9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Name (Age)</w:t>
            </w:r>
          </w:p>
        </w:tc>
        <w:tc>
          <w:tcPr>
            <w:tcW w:w="340" w:type="dxa"/>
            <w:vAlign w:val="bottom"/>
          </w:tcPr>
          <w:p>
            <w:pPr>
              <w:spacing w:after="0"/>
              <w:rPr>
                <w:sz w:val="14"/>
                <w:szCs w:val="14"/>
                <w:color w:val="auto"/>
              </w:rPr>
            </w:pPr>
          </w:p>
        </w:tc>
        <w:tc>
          <w:tcPr>
            <w:tcW w:w="6440" w:type="dxa"/>
            <w:vAlign w:val="bottom"/>
            <w:tcBorders>
              <w:bottom w:val="single" w:sz="8" w:color="auto"/>
            </w:tcBorders>
          </w:tcPr>
          <w:p>
            <w:pPr>
              <w:ind w:left="2400"/>
              <w:spacing w:after="0"/>
              <w:rPr>
                <w:sz w:val="20"/>
                <w:szCs w:val="20"/>
                <w:color w:val="auto"/>
              </w:rPr>
            </w:pPr>
            <w:r>
              <w:rPr>
                <w:rFonts w:ascii="Arial" w:cs="Arial" w:eastAsia="Arial" w:hAnsi="Arial"/>
                <w:sz w:val="14"/>
                <w:szCs w:val="14"/>
                <w:color w:val="auto"/>
              </w:rPr>
              <w:t>Information About Nominee</w:t>
            </w:r>
          </w:p>
        </w:tc>
        <w:tc>
          <w:tcPr>
            <w:tcW w:w="320" w:type="dxa"/>
            <w:vAlign w:val="bottom"/>
          </w:tcPr>
          <w:p>
            <w:pPr>
              <w:spacing w:after="0"/>
              <w:rPr>
                <w:sz w:val="14"/>
                <w:szCs w:val="14"/>
                <w:color w:val="auto"/>
              </w:rPr>
            </w:pPr>
          </w:p>
        </w:tc>
        <w:tc>
          <w:tcPr>
            <w:tcW w:w="142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color w:val="auto"/>
              </w:rPr>
              <w:t>Director Since</w:t>
            </w:r>
          </w:p>
        </w:tc>
      </w:tr>
      <w:tr>
        <w:trPr>
          <w:trHeight w:val="217"/>
        </w:trPr>
        <w:tc>
          <w:tcPr>
            <w:tcW w:w="2900" w:type="dxa"/>
            <w:vAlign w:val="bottom"/>
          </w:tcPr>
          <w:p>
            <w:pPr>
              <w:spacing w:after="0"/>
              <w:rPr>
                <w:sz w:val="20"/>
                <w:szCs w:val="20"/>
                <w:color w:val="auto"/>
              </w:rPr>
            </w:pPr>
            <w:r>
              <w:rPr>
                <w:rFonts w:ascii="Arial" w:cs="Arial" w:eastAsia="Arial" w:hAnsi="Arial"/>
                <w:sz w:val="18"/>
                <w:szCs w:val="18"/>
                <w:color w:val="auto"/>
              </w:rPr>
              <w:t>Jimmy C. Tallent (52)</w:t>
            </w:r>
          </w:p>
        </w:tc>
        <w:tc>
          <w:tcPr>
            <w:tcW w:w="34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President and Chief Executive Officer of United</w:t>
            </w:r>
          </w:p>
        </w:tc>
        <w:tc>
          <w:tcPr>
            <w:tcW w:w="320" w:type="dxa"/>
            <w:vAlign w:val="bottom"/>
          </w:tcPr>
          <w:p>
            <w:pPr>
              <w:spacing w:after="0"/>
              <w:rPr>
                <w:sz w:val="18"/>
                <w:szCs w:val="18"/>
                <w:color w:val="auto"/>
              </w:rPr>
            </w:pPr>
          </w:p>
        </w:tc>
        <w:tc>
          <w:tcPr>
            <w:tcW w:w="1420" w:type="dxa"/>
            <w:vAlign w:val="bottom"/>
          </w:tcPr>
          <w:p>
            <w:pPr>
              <w:jc w:val="right"/>
              <w:ind w:right="520"/>
              <w:spacing w:after="0"/>
              <w:rPr>
                <w:sz w:val="20"/>
                <w:szCs w:val="20"/>
                <w:color w:val="auto"/>
              </w:rPr>
            </w:pPr>
            <w:r>
              <w:rPr>
                <w:rFonts w:ascii="Arial" w:cs="Arial" w:eastAsia="Arial" w:hAnsi="Arial"/>
                <w:sz w:val="18"/>
                <w:szCs w:val="18"/>
                <w:color w:val="auto"/>
              </w:rPr>
              <w:t>1988</w:t>
            </w:r>
          </w:p>
        </w:tc>
      </w:tr>
      <w:tr>
        <w:trPr>
          <w:trHeight w:val="401"/>
        </w:trPr>
        <w:tc>
          <w:tcPr>
            <w:tcW w:w="2900" w:type="dxa"/>
            <w:vAlign w:val="bottom"/>
          </w:tcPr>
          <w:p>
            <w:pPr>
              <w:spacing w:after="0"/>
              <w:rPr>
                <w:sz w:val="20"/>
                <w:szCs w:val="20"/>
                <w:color w:val="auto"/>
              </w:rPr>
            </w:pPr>
            <w:r>
              <w:rPr>
                <w:rFonts w:ascii="Arial" w:cs="Arial" w:eastAsia="Arial" w:hAnsi="Arial"/>
                <w:sz w:val="18"/>
                <w:szCs w:val="18"/>
                <w:color w:val="auto"/>
              </w:rPr>
              <w:t>Robert L. Head, Jr. (65)</w:t>
            </w:r>
          </w:p>
        </w:tc>
        <w:tc>
          <w:tcPr>
            <w:tcW w:w="6780" w:type="dxa"/>
            <w:vAlign w:val="bottom"/>
            <w:gridSpan w:val="2"/>
          </w:tcPr>
          <w:p>
            <w:pPr>
              <w:ind w:left="340"/>
              <w:spacing w:after="0"/>
              <w:rPr>
                <w:sz w:val="20"/>
                <w:szCs w:val="20"/>
                <w:color w:val="auto"/>
              </w:rPr>
            </w:pPr>
            <w:r>
              <w:rPr>
                <w:rFonts w:ascii="Arial" w:cs="Arial" w:eastAsia="Arial" w:hAnsi="Arial"/>
                <w:sz w:val="18"/>
                <w:szCs w:val="18"/>
                <w:color w:val="auto"/>
                <w:w w:val="90"/>
              </w:rPr>
              <w:t>Chairman of the Board of Directors of United; Owner of Head Construction Company and</w:t>
            </w:r>
          </w:p>
        </w:tc>
        <w:tc>
          <w:tcPr>
            <w:tcW w:w="1740" w:type="dxa"/>
            <w:vAlign w:val="bottom"/>
            <w:gridSpan w:val="2"/>
          </w:tcPr>
          <w:p>
            <w:pPr>
              <w:jc w:val="right"/>
              <w:ind w:right="520"/>
              <w:spacing w:after="0"/>
              <w:rPr>
                <w:sz w:val="20"/>
                <w:szCs w:val="20"/>
                <w:color w:val="auto"/>
              </w:rPr>
            </w:pPr>
            <w:r>
              <w:rPr>
                <w:rFonts w:ascii="Arial" w:cs="Arial" w:eastAsia="Arial" w:hAnsi="Arial"/>
                <w:sz w:val="18"/>
                <w:szCs w:val="18"/>
                <w:color w:val="auto"/>
              </w:rPr>
              <w:t>1988</w:t>
            </w:r>
          </w:p>
        </w:tc>
      </w:tr>
      <w:tr>
        <w:trPr>
          <w:trHeight w:val="223"/>
        </w:trPr>
        <w:tc>
          <w:tcPr>
            <w:tcW w:w="2900" w:type="dxa"/>
            <w:vAlign w:val="bottom"/>
          </w:tcPr>
          <w:p>
            <w:pPr>
              <w:spacing w:after="0"/>
              <w:rPr>
                <w:sz w:val="19"/>
                <w:szCs w:val="19"/>
                <w:color w:val="auto"/>
              </w:rPr>
            </w:pPr>
          </w:p>
        </w:tc>
        <w:tc>
          <w:tcPr>
            <w:tcW w:w="6780" w:type="dxa"/>
            <w:vAlign w:val="bottom"/>
            <w:gridSpan w:val="2"/>
          </w:tcPr>
          <w:p>
            <w:pPr>
              <w:ind w:left="340"/>
              <w:spacing w:after="0"/>
              <w:rPr>
                <w:sz w:val="20"/>
                <w:szCs w:val="20"/>
                <w:color w:val="auto"/>
              </w:rPr>
            </w:pPr>
            <w:r>
              <w:rPr>
                <w:rFonts w:ascii="Arial" w:cs="Arial" w:eastAsia="Arial" w:hAnsi="Arial"/>
                <w:sz w:val="18"/>
                <w:szCs w:val="18"/>
                <w:color w:val="auto"/>
              </w:rPr>
              <w:t>Head-Westgate Corp., commercial construction companies, Blairsville, Georgia</w:t>
            </w:r>
          </w:p>
        </w:tc>
        <w:tc>
          <w:tcPr>
            <w:tcW w:w="3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413"/>
        </w:trPr>
        <w:tc>
          <w:tcPr>
            <w:tcW w:w="2900" w:type="dxa"/>
            <w:vAlign w:val="bottom"/>
          </w:tcPr>
          <w:p>
            <w:pPr>
              <w:spacing w:after="0"/>
              <w:rPr>
                <w:sz w:val="20"/>
                <w:szCs w:val="20"/>
                <w:color w:val="auto"/>
              </w:rPr>
            </w:pPr>
            <w:r>
              <w:rPr>
                <w:rFonts w:ascii="Arial" w:cs="Arial" w:eastAsia="Arial" w:hAnsi="Arial"/>
                <w:sz w:val="18"/>
                <w:szCs w:val="18"/>
                <w:color w:val="auto"/>
              </w:rPr>
              <w:t>W. C. Nelson, Jr. (61)</w:t>
            </w:r>
          </w:p>
        </w:tc>
        <w:tc>
          <w:tcPr>
            <w:tcW w:w="6780" w:type="dxa"/>
            <w:vAlign w:val="bottom"/>
            <w:gridSpan w:val="2"/>
          </w:tcPr>
          <w:p>
            <w:pPr>
              <w:ind w:left="340"/>
              <w:spacing w:after="0"/>
              <w:rPr>
                <w:sz w:val="20"/>
                <w:szCs w:val="20"/>
                <w:color w:val="auto"/>
              </w:rPr>
            </w:pPr>
            <w:r>
              <w:rPr>
                <w:rFonts w:ascii="Arial" w:cs="Arial" w:eastAsia="Arial" w:hAnsi="Arial"/>
                <w:sz w:val="18"/>
                <w:szCs w:val="18"/>
                <w:color w:val="auto"/>
                <w:w w:val="94"/>
              </w:rPr>
              <w:t>Vice Chairman of the Board of United; Owner of Nelson Tractor Company, Blairsville,</w:t>
            </w:r>
          </w:p>
        </w:tc>
        <w:tc>
          <w:tcPr>
            <w:tcW w:w="1740" w:type="dxa"/>
            <w:vAlign w:val="bottom"/>
            <w:gridSpan w:val="2"/>
          </w:tcPr>
          <w:p>
            <w:pPr>
              <w:jc w:val="right"/>
              <w:ind w:right="520"/>
              <w:spacing w:after="0"/>
              <w:rPr>
                <w:sz w:val="20"/>
                <w:szCs w:val="20"/>
                <w:color w:val="auto"/>
              </w:rPr>
            </w:pPr>
            <w:r>
              <w:rPr>
                <w:rFonts w:ascii="Arial" w:cs="Arial" w:eastAsia="Arial" w:hAnsi="Arial"/>
                <w:sz w:val="18"/>
                <w:szCs w:val="18"/>
                <w:color w:val="auto"/>
              </w:rPr>
              <w:t>1988</w:t>
            </w:r>
          </w:p>
        </w:tc>
      </w:tr>
      <w:tr>
        <w:trPr>
          <w:trHeight w:val="223"/>
        </w:trPr>
        <w:tc>
          <w:tcPr>
            <w:tcW w:w="2900" w:type="dxa"/>
            <w:vAlign w:val="bottom"/>
          </w:tcPr>
          <w:p>
            <w:pPr>
              <w:spacing w:after="0"/>
              <w:rPr>
                <w:sz w:val="19"/>
                <w:szCs w:val="19"/>
                <w:color w:val="auto"/>
              </w:rPr>
            </w:pPr>
          </w:p>
        </w:tc>
        <w:tc>
          <w:tcPr>
            <w:tcW w:w="6780" w:type="dxa"/>
            <w:vAlign w:val="bottom"/>
            <w:gridSpan w:val="2"/>
          </w:tcPr>
          <w:p>
            <w:pPr>
              <w:ind w:left="340"/>
              <w:spacing w:after="0"/>
              <w:rPr>
                <w:sz w:val="20"/>
                <w:szCs w:val="20"/>
                <w:color w:val="auto"/>
              </w:rPr>
            </w:pPr>
            <w:r>
              <w:rPr>
                <w:rFonts w:ascii="Arial" w:cs="Arial" w:eastAsia="Arial" w:hAnsi="Arial"/>
                <w:sz w:val="18"/>
                <w:szCs w:val="18"/>
                <w:color w:val="auto"/>
              </w:rPr>
              <w:t>Georgia</w:t>
            </w:r>
          </w:p>
        </w:tc>
        <w:tc>
          <w:tcPr>
            <w:tcW w:w="3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413"/>
        </w:trPr>
        <w:tc>
          <w:tcPr>
            <w:tcW w:w="2900" w:type="dxa"/>
            <w:vAlign w:val="bottom"/>
          </w:tcPr>
          <w:p>
            <w:pPr>
              <w:spacing w:after="0"/>
              <w:rPr>
                <w:sz w:val="20"/>
                <w:szCs w:val="20"/>
                <w:color w:val="auto"/>
              </w:rPr>
            </w:pPr>
            <w:r>
              <w:rPr>
                <w:rFonts w:ascii="Arial" w:cs="Arial" w:eastAsia="Arial" w:hAnsi="Arial"/>
                <w:sz w:val="18"/>
                <w:szCs w:val="18"/>
                <w:color w:val="auto"/>
              </w:rPr>
              <w:t>A. William Bennett (63)</w:t>
            </w:r>
          </w:p>
        </w:tc>
        <w:tc>
          <w:tcPr>
            <w:tcW w:w="6780" w:type="dxa"/>
            <w:vAlign w:val="bottom"/>
            <w:gridSpan w:val="2"/>
          </w:tcPr>
          <w:p>
            <w:pPr>
              <w:ind w:left="340"/>
              <w:spacing w:after="0"/>
              <w:rPr>
                <w:sz w:val="20"/>
                <w:szCs w:val="20"/>
                <w:color w:val="auto"/>
              </w:rPr>
            </w:pPr>
            <w:r>
              <w:rPr>
                <w:rFonts w:ascii="Arial" w:cs="Arial" w:eastAsia="Arial" w:hAnsi="Arial"/>
                <w:sz w:val="18"/>
                <w:szCs w:val="18"/>
                <w:color w:val="auto"/>
              </w:rPr>
              <w:t>Partner in Bennett, Davidson &amp; Associates, LLP,</w:t>
            </w:r>
          </w:p>
        </w:tc>
        <w:tc>
          <w:tcPr>
            <w:tcW w:w="1740" w:type="dxa"/>
            <w:vAlign w:val="bottom"/>
            <w:gridSpan w:val="2"/>
          </w:tcPr>
          <w:p>
            <w:pPr>
              <w:jc w:val="right"/>
              <w:ind w:right="520"/>
              <w:spacing w:after="0"/>
              <w:rPr>
                <w:sz w:val="20"/>
                <w:szCs w:val="20"/>
                <w:color w:val="auto"/>
              </w:rPr>
            </w:pPr>
            <w:r>
              <w:rPr>
                <w:rFonts w:ascii="Arial" w:cs="Arial" w:eastAsia="Arial" w:hAnsi="Arial"/>
                <w:sz w:val="18"/>
                <w:szCs w:val="18"/>
                <w:color w:val="auto"/>
              </w:rPr>
              <w:t>2003</w:t>
            </w:r>
          </w:p>
        </w:tc>
      </w:tr>
      <w:tr>
        <w:trPr>
          <w:trHeight w:val="223"/>
        </w:trPr>
        <w:tc>
          <w:tcPr>
            <w:tcW w:w="2900" w:type="dxa"/>
            <w:vAlign w:val="bottom"/>
          </w:tcPr>
          <w:p>
            <w:pPr>
              <w:spacing w:after="0"/>
              <w:rPr>
                <w:sz w:val="19"/>
                <w:szCs w:val="19"/>
                <w:color w:val="auto"/>
              </w:rPr>
            </w:pPr>
          </w:p>
        </w:tc>
        <w:tc>
          <w:tcPr>
            <w:tcW w:w="6780" w:type="dxa"/>
            <w:vAlign w:val="bottom"/>
            <w:gridSpan w:val="2"/>
          </w:tcPr>
          <w:p>
            <w:pPr>
              <w:ind w:left="340"/>
              <w:spacing w:after="0"/>
              <w:rPr>
                <w:sz w:val="20"/>
                <w:szCs w:val="20"/>
                <w:color w:val="auto"/>
              </w:rPr>
            </w:pPr>
            <w:r>
              <w:rPr>
                <w:rFonts w:ascii="Arial" w:cs="Arial" w:eastAsia="Arial" w:hAnsi="Arial"/>
                <w:sz w:val="18"/>
                <w:szCs w:val="18"/>
                <w:color w:val="auto"/>
              </w:rPr>
              <w:t>Certified Public Accountants, Washington, Georgia</w:t>
            </w:r>
          </w:p>
        </w:tc>
        <w:tc>
          <w:tcPr>
            <w:tcW w:w="3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424"/>
        </w:trPr>
        <w:tc>
          <w:tcPr>
            <w:tcW w:w="2900" w:type="dxa"/>
            <w:vAlign w:val="bottom"/>
          </w:tcPr>
          <w:p>
            <w:pPr>
              <w:spacing w:after="0"/>
              <w:rPr>
                <w:sz w:val="20"/>
                <w:szCs w:val="20"/>
                <w:color w:val="auto"/>
              </w:rPr>
            </w:pPr>
            <w:r>
              <w:rPr>
                <w:rFonts w:ascii="Arial" w:cs="Arial" w:eastAsia="Arial" w:hAnsi="Arial"/>
                <w:sz w:val="18"/>
                <w:szCs w:val="18"/>
                <w:color w:val="auto"/>
              </w:rPr>
              <w:t>Robert H. Blalock (57)</w:t>
            </w:r>
          </w:p>
        </w:tc>
        <w:tc>
          <w:tcPr>
            <w:tcW w:w="6780" w:type="dxa"/>
            <w:vAlign w:val="bottom"/>
            <w:gridSpan w:val="2"/>
          </w:tcPr>
          <w:p>
            <w:pPr>
              <w:ind w:left="340"/>
              <w:spacing w:after="0"/>
              <w:rPr>
                <w:sz w:val="20"/>
                <w:szCs w:val="20"/>
                <w:color w:val="auto"/>
              </w:rPr>
            </w:pPr>
            <w:r>
              <w:rPr>
                <w:rFonts w:ascii="Arial" w:cs="Arial" w:eastAsia="Arial" w:hAnsi="Arial"/>
                <w:sz w:val="18"/>
                <w:szCs w:val="18"/>
                <w:color w:val="auto"/>
              </w:rPr>
              <w:t>Owner of Blalock Insurance Agency, Inc., Clayton, Georgia</w:t>
            </w:r>
          </w:p>
        </w:tc>
        <w:tc>
          <w:tcPr>
            <w:tcW w:w="1740" w:type="dxa"/>
            <w:vAlign w:val="bottom"/>
            <w:gridSpan w:val="2"/>
          </w:tcPr>
          <w:p>
            <w:pPr>
              <w:jc w:val="right"/>
              <w:ind w:right="520"/>
              <w:spacing w:after="0"/>
              <w:rPr>
                <w:sz w:val="20"/>
                <w:szCs w:val="20"/>
                <w:color w:val="auto"/>
              </w:rPr>
            </w:pPr>
            <w:r>
              <w:rPr>
                <w:rFonts w:ascii="Arial" w:cs="Arial" w:eastAsia="Arial" w:hAnsi="Arial"/>
                <w:sz w:val="18"/>
                <w:szCs w:val="18"/>
                <w:color w:val="auto"/>
              </w:rPr>
              <w:t>2000</w:t>
            </w:r>
          </w:p>
        </w:tc>
      </w:tr>
      <w:tr>
        <w:trPr>
          <w:trHeight w:val="424"/>
        </w:trPr>
        <w:tc>
          <w:tcPr>
            <w:tcW w:w="2900" w:type="dxa"/>
            <w:vAlign w:val="bottom"/>
          </w:tcPr>
          <w:p>
            <w:pPr>
              <w:spacing w:after="0"/>
              <w:rPr>
                <w:sz w:val="20"/>
                <w:szCs w:val="20"/>
                <w:color w:val="auto"/>
              </w:rPr>
            </w:pPr>
            <w:r>
              <w:rPr>
                <w:rFonts w:ascii="Arial" w:cs="Arial" w:eastAsia="Arial" w:hAnsi="Arial"/>
                <w:sz w:val="18"/>
                <w:szCs w:val="18"/>
                <w:color w:val="auto"/>
              </w:rPr>
              <w:t>Guy W. Freeman (68)</w:t>
            </w:r>
          </w:p>
        </w:tc>
        <w:tc>
          <w:tcPr>
            <w:tcW w:w="6780" w:type="dxa"/>
            <w:vAlign w:val="bottom"/>
            <w:gridSpan w:val="2"/>
          </w:tcPr>
          <w:p>
            <w:pPr>
              <w:ind w:left="340"/>
              <w:spacing w:after="0"/>
              <w:rPr>
                <w:sz w:val="20"/>
                <w:szCs w:val="20"/>
                <w:color w:val="auto"/>
              </w:rPr>
            </w:pPr>
            <w:r>
              <w:rPr>
                <w:rFonts w:ascii="Arial" w:cs="Arial" w:eastAsia="Arial" w:hAnsi="Arial"/>
                <w:sz w:val="18"/>
                <w:szCs w:val="18"/>
                <w:color w:val="auto"/>
              </w:rPr>
              <w:t>Executive Vice President of Banking of United</w:t>
            </w:r>
          </w:p>
        </w:tc>
        <w:tc>
          <w:tcPr>
            <w:tcW w:w="1740" w:type="dxa"/>
            <w:vAlign w:val="bottom"/>
            <w:gridSpan w:val="2"/>
          </w:tcPr>
          <w:p>
            <w:pPr>
              <w:jc w:val="right"/>
              <w:ind w:right="520"/>
              <w:spacing w:after="0"/>
              <w:rPr>
                <w:sz w:val="20"/>
                <w:szCs w:val="20"/>
                <w:color w:val="auto"/>
              </w:rPr>
            </w:pPr>
            <w:r>
              <w:rPr>
                <w:rFonts w:ascii="Arial" w:cs="Arial" w:eastAsia="Arial" w:hAnsi="Arial"/>
                <w:sz w:val="18"/>
                <w:szCs w:val="18"/>
                <w:color w:val="auto"/>
              </w:rPr>
              <w:t>2001</w:t>
            </w:r>
          </w:p>
        </w:tc>
      </w:tr>
      <w:tr>
        <w:trPr>
          <w:trHeight w:val="424"/>
        </w:trPr>
        <w:tc>
          <w:tcPr>
            <w:tcW w:w="2900" w:type="dxa"/>
            <w:vAlign w:val="bottom"/>
          </w:tcPr>
          <w:p>
            <w:pPr>
              <w:spacing w:after="0"/>
              <w:rPr>
                <w:sz w:val="20"/>
                <w:szCs w:val="20"/>
                <w:color w:val="auto"/>
              </w:rPr>
            </w:pPr>
            <w:r>
              <w:rPr>
                <w:rFonts w:ascii="Arial" w:cs="Arial" w:eastAsia="Arial" w:hAnsi="Arial"/>
                <w:sz w:val="18"/>
                <w:szCs w:val="18"/>
                <w:color w:val="auto"/>
              </w:rPr>
              <w:t>Thomas C. Gilliland (57)</w:t>
            </w:r>
          </w:p>
        </w:tc>
        <w:tc>
          <w:tcPr>
            <w:tcW w:w="6780" w:type="dxa"/>
            <w:vAlign w:val="bottom"/>
            <w:gridSpan w:val="2"/>
          </w:tcPr>
          <w:p>
            <w:pPr>
              <w:ind w:left="340"/>
              <w:spacing w:after="0"/>
              <w:rPr>
                <w:sz w:val="20"/>
                <w:szCs w:val="20"/>
                <w:color w:val="auto"/>
              </w:rPr>
            </w:pPr>
            <w:r>
              <w:rPr>
                <w:rFonts w:ascii="Arial" w:cs="Arial" w:eastAsia="Arial" w:hAnsi="Arial"/>
                <w:sz w:val="18"/>
                <w:szCs w:val="18"/>
                <w:color w:val="auto"/>
              </w:rPr>
              <w:t>Executive Vice President, Secretary and General Counsel of United</w:t>
            </w:r>
          </w:p>
        </w:tc>
        <w:tc>
          <w:tcPr>
            <w:tcW w:w="1740" w:type="dxa"/>
            <w:vAlign w:val="bottom"/>
            <w:gridSpan w:val="2"/>
          </w:tcPr>
          <w:p>
            <w:pPr>
              <w:jc w:val="right"/>
              <w:ind w:right="520"/>
              <w:spacing w:after="0"/>
              <w:rPr>
                <w:sz w:val="20"/>
                <w:szCs w:val="20"/>
                <w:color w:val="auto"/>
              </w:rPr>
            </w:pPr>
            <w:r>
              <w:rPr>
                <w:rFonts w:ascii="Arial" w:cs="Arial" w:eastAsia="Arial" w:hAnsi="Arial"/>
                <w:sz w:val="18"/>
                <w:szCs w:val="18"/>
                <w:color w:val="auto"/>
              </w:rPr>
              <w:t>1992</w:t>
            </w:r>
          </w:p>
        </w:tc>
      </w:tr>
      <w:tr>
        <w:trPr>
          <w:trHeight w:val="424"/>
        </w:trPr>
        <w:tc>
          <w:tcPr>
            <w:tcW w:w="2900" w:type="dxa"/>
            <w:vAlign w:val="bottom"/>
          </w:tcPr>
          <w:p>
            <w:pPr>
              <w:spacing w:after="0"/>
              <w:rPr>
                <w:sz w:val="20"/>
                <w:szCs w:val="20"/>
                <w:color w:val="auto"/>
              </w:rPr>
            </w:pPr>
            <w:r>
              <w:rPr>
                <w:rFonts w:ascii="Arial" w:cs="Arial" w:eastAsia="Arial" w:hAnsi="Arial"/>
                <w:sz w:val="18"/>
                <w:szCs w:val="18"/>
                <w:color w:val="auto"/>
              </w:rPr>
              <w:t>Charles E. Hill (67)</w:t>
            </w:r>
          </w:p>
        </w:tc>
        <w:tc>
          <w:tcPr>
            <w:tcW w:w="6780" w:type="dxa"/>
            <w:vAlign w:val="bottom"/>
            <w:gridSpan w:val="2"/>
          </w:tcPr>
          <w:p>
            <w:pPr>
              <w:ind w:left="340"/>
              <w:spacing w:after="0"/>
              <w:rPr>
                <w:sz w:val="20"/>
                <w:szCs w:val="20"/>
                <w:color w:val="auto"/>
              </w:rPr>
            </w:pPr>
            <w:r>
              <w:rPr>
                <w:rFonts w:ascii="Arial" w:cs="Arial" w:eastAsia="Arial" w:hAnsi="Arial"/>
                <w:sz w:val="18"/>
                <w:szCs w:val="18"/>
                <w:color w:val="auto"/>
              </w:rPr>
              <w:t>Retired Director of Pharmacy at Union General Hospital, Blairsville, Georgia</w:t>
            </w:r>
          </w:p>
        </w:tc>
        <w:tc>
          <w:tcPr>
            <w:tcW w:w="1740" w:type="dxa"/>
            <w:vAlign w:val="bottom"/>
            <w:gridSpan w:val="2"/>
          </w:tcPr>
          <w:p>
            <w:pPr>
              <w:jc w:val="right"/>
              <w:ind w:right="520"/>
              <w:spacing w:after="0"/>
              <w:rPr>
                <w:sz w:val="20"/>
                <w:szCs w:val="20"/>
                <w:color w:val="auto"/>
              </w:rPr>
            </w:pPr>
            <w:r>
              <w:rPr>
                <w:rFonts w:ascii="Arial" w:cs="Arial" w:eastAsia="Arial" w:hAnsi="Arial"/>
                <w:sz w:val="18"/>
                <w:szCs w:val="18"/>
                <w:color w:val="auto"/>
              </w:rPr>
              <w:t>1988</w:t>
            </w:r>
          </w:p>
        </w:tc>
      </w:tr>
      <w:tr>
        <w:trPr>
          <w:trHeight w:val="424"/>
        </w:trPr>
        <w:tc>
          <w:tcPr>
            <w:tcW w:w="2900" w:type="dxa"/>
            <w:vAlign w:val="bottom"/>
          </w:tcPr>
          <w:p>
            <w:pPr>
              <w:spacing w:after="0"/>
              <w:rPr>
                <w:sz w:val="20"/>
                <w:szCs w:val="20"/>
                <w:color w:val="auto"/>
              </w:rPr>
            </w:pPr>
            <w:r>
              <w:rPr>
                <w:rFonts w:ascii="Arial" w:cs="Arial" w:eastAsia="Arial" w:hAnsi="Arial"/>
                <w:sz w:val="18"/>
                <w:szCs w:val="18"/>
                <w:color w:val="auto"/>
              </w:rPr>
              <w:t>Hoyt O. Holloway (65)</w:t>
            </w:r>
          </w:p>
        </w:tc>
        <w:tc>
          <w:tcPr>
            <w:tcW w:w="6780" w:type="dxa"/>
            <w:vAlign w:val="bottom"/>
            <w:gridSpan w:val="2"/>
          </w:tcPr>
          <w:p>
            <w:pPr>
              <w:ind w:left="340"/>
              <w:spacing w:after="0"/>
              <w:rPr>
                <w:sz w:val="20"/>
                <w:szCs w:val="20"/>
                <w:color w:val="auto"/>
              </w:rPr>
            </w:pPr>
            <w:r>
              <w:rPr>
                <w:rFonts w:ascii="Arial" w:cs="Arial" w:eastAsia="Arial" w:hAnsi="Arial"/>
                <w:sz w:val="18"/>
                <w:szCs w:val="18"/>
                <w:color w:val="auto"/>
              </w:rPr>
              <w:t>Owner of H&amp;H Farms, poultry farm, Blue Ridge, Georgia</w:t>
            </w:r>
          </w:p>
        </w:tc>
        <w:tc>
          <w:tcPr>
            <w:tcW w:w="1740" w:type="dxa"/>
            <w:vAlign w:val="bottom"/>
            <w:gridSpan w:val="2"/>
          </w:tcPr>
          <w:p>
            <w:pPr>
              <w:jc w:val="right"/>
              <w:ind w:right="520"/>
              <w:spacing w:after="0"/>
              <w:rPr>
                <w:sz w:val="20"/>
                <w:szCs w:val="20"/>
                <w:color w:val="auto"/>
              </w:rPr>
            </w:pPr>
            <w:r>
              <w:rPr>
                <w:rFonts w:ascii="Arial" w:cs="Arial" w:eastAsia="Arial" w:hAnsi="Arial"/>
                <w:sz w:val="18"/>
                <w:szCs w:val="18"/>
                <w:color w:val="auto"/>
              </w:rPr>
              <w:t>1993</w:t>
            </w:r>
          </w:p>
        </w:tc>
      </w:tr>
      <w:tr>
        <w:trPr>
          <w:trHeight w:val="424"/>
        </w:trPr>
        <w:tc>
          <w:tcPr>
            <w:tcW w:w="2900" w:type="dxa"/>
            <w:vAlign w:val="bottom"/>
          </w:tcPr>
          <w:p>
            <w:pPr>
              <w:spacing w:after="0"/>
              <w:rPr>
                <w:sz w:val="20"/>
                <w:szCs w:val="20"/>
                <w:color w:val="auto"/>
              </w:rPr>
            </w:pPr>
            <w:r>
              <w:rPr>
                <w:rFonts w:ascii="Arial" w:cs="Arial" w:eastAsia="Arial" w:hAnsi="Arial"/>
                <w:sz w:val="18"/>
                <w:szCs w:val="18"/>
                <w:color w:val="auto"/>
              </w:rPr>
              <w:t>Clarence W. Mason, Sr. (69)</w:t>
            </w:r>
          </w:p>
        </w:tc>
        <w:tc>
          <w:tcPr>
            <w:tcW w:w="6780" w:type="dxa"/>
            <w:vAlign w:val="bottom"/>
            <w:gridSpan w:val="2"/>
          </w:tcPr>
          <w:p>
            <w:pPr>
              <w:ind w:left="340"/>
              <w:spacing w:after="0"/>
              <w:rPr>
                <w:sz w:val="20"/>
                <w:szCs w:val="20"/>
                <w:color w:val="auto"/>
              </w:rPr>
            </w:pPr>
            <w:r>
              <w:rPr>
                <w:rFonts w:ascii="Arial" w:cs="Arial" w:eastAsia="Arial" w:hAnsi="Arial"/>
                <w:sz w:val="18"/>
                <w:szCs w:val="18"/>
                <w:color w:val="auto"/>
              </w:rPr>
              <w:t>Owner of Mason Lawn and Garden, Blue Ridge, Georgia</w:t>
            </w:r>
          </w:p>
        </w:tc>
        <w:tc>
          <w:tcPr>
            <w:tcW w:w="1740" w:type="dxa"/>
            <w:vAlign w:val="bottom"/>
            <w:gridSpan w:val="2"/>
          </w:tcPr>
          <w:p>
            <w:pPr>
              <w:jc w:val="right"/>
              <w:ind w:right="520"/>
              <w:spacing w:after="0"/>
              <w:rPr>
                <w:sz w:val="20"/>
                <w:szCs w:val="20"/>
                <w:color w:val="auto"/>
              </w:rPr>
            </w:pPr>
            <w:r>
              <w:rPr>
                <w:rFonts w:ascii="Arial" w:cs="Arial" w:eastAsia="Arial" w:hAnsi="Arial"/>
                <w:sz w:val="18"/>
                <w:szCs w:val="18"/>
                <w:color w:val="auto"/>
              </w:rPr>
              <w:t>1992</w:t>
            </w:r>
          </w:p>
        </w:tc>
      </w:tr>
      <w:tr>
        <w:trPr>
          <w:trHeight w:val="424"/>
        </w:trPr>
        <w:tc>
          <w:tcPr>
            <w:tcW w:w="2900" w:type="dxa"/>
            <w:vAlign w:val="bottom"/>
          </w:tcPr>
          <w:p>
            <w:pPr>
              <w:spacing w:after="0"/>
              <w:rPr>
                <w:sz w:val="20"/>
                <w:szCs w:val="20"/>
                <w:color w:val="auto"/>
              </w:rPr>
            </w:pPr>
            <w:r>
              <w:rPr>
                <w:rFonts w:ascii="Arial" w:cs="Arial" w:eastAsia="Arial" w:hAnsi="Arial"/>
                <w:sz w:val="18"/>
                <w:szCs w:val="18"/>
                <w:color w:val="auto"/>
              </w:rPr>
              <w:t>Tim Wallis (53)</w:t>
            </w:r>
          </w:p>
        </w:tc>
        <w:tc>
          <w:tcPr>
            <w:tcW w:w="6780" w:type="dxa"/>
            <w:vAlign w:val="bottom"/>
            <w:gridSpan w:val="2"/>
          </w:tcPr>
          <w:p>
            <w:pPr>
              <w:ind w:left="340"/>
              <w:spacing w:after="0"/>
              <w:rPr>
                <w:sz w:val="20"/>
                <w:szCs w:val="20"/>
                <w:color w:val="auto"/>
              </w:rPr>
            </w:pPr>
            <w:r>
              <w:rPr>
                <w:rFonts w:ascii="Arial" w:cs="Arial" w:eastAsia="Arial" w:hAnsi="Arial"/>
                <w:sz w:val="18"/>
                <w:szCs w:val="18"/>
                <w:color w:val="auto"/>
              </w:rPr>
              <w:t>Owner of Wallis Printing Co., Rome, Georgia</w:t>
            </w:r>
          </w:p>
        </w:tc>
        <w:tc>
          <w:tcPr>
            <w:tcW w:w="1740" w:type="dxa"/>
            <w:vAlign w:val="bottom"/>
            <w:gridSpan w:val="2"/>
          </w:tcPr>
          <w:p>
            <w:pPr>
              <w:jc w:val="right"/>
              <w:ind w:right="520"/>
              <w:spacing w:after="0"/>
              <w:rPr>
                <w:sz w:val="20"/>
                <w:szCs w:val="20"/>
                <w:color w:val="auto"/>
              </w:rPr>
            </w:pPr>
            <w:r>
              <w:rPr>
                <w:rFonts w:ascii="Arial" w:cs="Arial" w:eastAsia="Arial" w:hAnsi="Arial"/>
                <w:sz w:val="18"/>
                <w:szCs w:val="18"/>
                <w:color w:val="auto"/>
              </w:rPr>
              <w:t>1999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219710</wp:posOffset>
            </wp:positionV>
            <wp:extent cx="72656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5670" cy="825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There are no family relationships between any director, executive officer, or nominee for director of United or any of its subsidiaries.</w:t>
      </w:r>
    </w:p>
    <w:p>
      <w:pPr>
        <w:spacing w:after="0" w:line="17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Emeritus</w:t>
      </w:r>
    </w:p>
    <w:p>
      <w:pPr>
        <w:spacing w:after="0" w:line="197" w:lineRule="exact"/>
        <w:rPr>
          <w:sz w:val="20"/>
          <w:szCs w:val="20"/>
          <w:color w:val="auto"/>
        </w:rPr>
      </w:pPr>
    </w:p>
    <w:p>
      <w:pPr>
        <w:ind w:right="20" w:firstLine="221"/>
        <w:spacing w:after="0" w:line="252" w:lineRule="auto"/>
        <w:rPr>
          <w:sz w:val="20"/>
          <w:szCs w:val="20"/>
          <w:color w:val="auto"/>
        </w:rPr>
      </w:pPr>
      <w:r>
        <w:rPr>
          <w:rFonts w:ascii="Arial" w:cs="Arial" w:eastAsia="Arial" w:hAnsi="Arial"/>
          <w:sz w:val="18"/>
          <w:szCs w:val="18"/>
          <w:color w:val="auto"/>
        </w:rPr>
        <w:t>In February 2005, the Honorable Zell B. Miller, 73, was elected by the Board of Directors of United to serve as a Director Emeritus. This is an elected role by the Board that provides leadership, counsel and guidance on various issues and policies that could affect the company. Prior to his appointment to the U. S. Senate, Zell Miller served as a member of the Board of Directors of United from 1999 to 2000. Zell Miller has served not only as a U. S. Senator from the State of Georgia, but two terms as Governor and four terms as Lt. Governor.</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and Committees</w:t>
      </w:r>
    </w:p>
    <w:p>
      <w:pPr>
        <w:spacing w:after="0" w:line="184" w:lineRule="exact"/>
        <w:rPr>
          <w:sz w:val="20"/>
          <w:szCs w:val="20"/>
          <w:color w:val="auto"/>
        </w:rPr>
      </w:pPr>
    </w:p>
    <w:p>
      <w:pPr>
        <w:ind w:right="220" w:firstLine="218"/>
        <w:spacing w:after="0" w:line="265" w:lineRule="auto"/>
        <w:rPr>
          <w:sz w:val="20"/>
          <w:szCs w:val="20"/>
          <w:color w:val="auto"/>
        </w:rPr>
      </w:pPr>
      <w:r>
        <w:rPr>
          <w:rFonts w:ascii="Arial" w:cs="Arial" w:eastAsia="Arial" w:hAnsi="Arial"/>
          <w:sz w:val="18"/>
          <w:szCs w:val="18"/>
          <w:color w:val="auto"/>
        </w:rPr>
        <w:t>The United Board of Directors held eight meetings during 2004. All of the directors attended at least seventy-five percent of the meetings of the Board and meetings of the committees of the Board on which they served that were held during 2004.</w:t>
      </w:r>
    </w:p>
    <w:p>
      <w:pPr>
        <w:spacing w:after="0" w:line="153" w:lineRule="exact"/>
        <w:rPr>
          <w:sz w:val="20"/>
          <w:szCs w:val="20"/>
          <w:color w:val="auto"/>
        </w:rPr>
      </w:pPr>
    </w:p>
    <w:p>
      <w:pPr>
        <w:ind w:right="420" w:firstLine="218"/>
        <w:spacing w:after="0" w:line="330" w:lineRule="auto"/>
        <w:rPr>
          <w:sz w:val="20"/>
          <w:szCs w:val="20"/>
          <w:color w:val="auto"/>
        </w:rPr>
      </w:pPr>
      <w:r>
        <w:rPr>
          <w:rFonts w:ascii="Arial" w:cs="Arial" w:eastAsia="Arial" w:hAnsi="Arial"/>
          <w:sz w:val="15"/>
          <w:szCs w:val="15"/>
          <w:color w:val="auto"/>
        </w:rPr>
        <w:t>The Board has considered and determined that a majority of the members of the Board of Directors are independent as “independent” is defined under applicable federal securities laws and the Nasdaq Marketplace Rules. The independent directors are directors Nelson, Bennett, Blalock, Hill, Holloway and Mason. These independent directors meet in executive sessions every quarter without management or the other directors.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178" w:lineRule="exact"/>
        <w:rPr>
          <w:sz w:val="20"/>
          <w:szCs w:val="20"/>
          <w:color w:val="auto"/>
        </w:rPr>
      </w:pPr>
    </w:p>
    <w:p>
      <w:pPr>
        <w:ind w:right="20" w:firstLine="218"/>
        <w:spacing w:after="0" w:line="318" w:lineRule="auto"/>
        <w:rPr>
          <w:sz w:val="20"/>
          <w:szCs w:val="20"/>
          <w:color w:val="auto"/>
        </w:rPr>
      </w:pPr>
      <w:r>
        <w:rPr>
          <w:rFonts w:ascii="Arial" w:cs="Arial" w:eastAsia="Arial" w:hAnsi="Arial"/>
          <w:sz w:val="15"/>
          <w:szCs w:val="15"/>
          <w:color w:val="auto"/>
        </w:rPr>
        <w:t>The compensation committee of the Board of Directors is comprised of directors, Head, Nelson, Bennett, Blalock, Hill, Holloway, Mason and Wallis, all of the members of the Board who are not employees of United or any of its subsidiaries. The compensation committee makes compensation decisions for executive officers and key employees and administers the 2000 Key Employee Stock Option Plan (the “2000 Plan”). A majority of the compensation committee members are “independent” under the federal securities laws and the Nasdaq Marketplace Rules. The compensation committee met eight times during 2004.</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178" w:lineRule="exact"/>
        <w:rPr>
          <w:sz w:val="20"/>
          <w:szCs w:val="20"/>
          <w:color w:val="auto"/>
        </w:rPr>
      </w:pPr>
    </w:p>
    <w:p>
      <w:pPr>
        <w:ind w:firstLine="218"/>
        <w:spacing w:after="0" w:line="263" w:lineRule="auto"/>
        <w:rPr>
          <w:sz w:val="20"/>
          <w:szCs w:val="20"/>
          <w:color w:val="auto"/>
        </w:rPr>
      </w:pPr>
      <w:r>
        <w:rPr>
          <w:rFonts w:ascii="Arial" w:cs="Arial" w:eastAsia="Arial" w:hAnsi="Arial"/>
          <w:sz w:val="17"/>
          <w:szCs w:val="17"/>
          <w:color w:val="auto"/>
        </w:rPr>
        <w:t>The audit committee of the Board of Directors is comprised of directors Nelson, Bennett and Holloway. The audit committee serves as an independent and objective party to monitor United’s financial reporting process and internal control systems, to review and assess the performance of United’s independent registered public accountants and internal auditing department, and to facilitate open communication among the independent registered public accountants, financial and senior management, the internal auditing department, and the Board of Directors. Certain specific responsibilities of the audit committee include recommending the selection of independent registered public accountants, meeting with the independent registered public accountants to review the scope and results of the audit, reviewing with management and the internal auditor the systems of internal controls and internal audit reports, ensuring that United’s books, records, and external financial reports are in accordance with U.S. generally accepted accounting principles, and reviewing all reports of examination made by regulatory authorities and ascertaining that any and all operational deficiencies are satisfactorily corrected. The Board of Directors has determined that all of the members of the audit committee are “independent” under applicable federal securities laws and the Nasdaq Marketplace Rules and have sufficient knowledge in financial and accounting matters to serve on the audit committee, including the ability to read and understand fundamental financial statements. In addition, the Board of Directors has determined that Mr. Bennett qualifies as an “audit committee financial expert” as defined by the federal securities laws and is “financially sophisticated” as defined by the Nasdaq Marketplace Rules. The audit committee met ten times during 2004. The audit committee charter is available on United’s website, ucbi.com.</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Nomination/Corporate Governance Committee</w:t>
      </w:r>
    </w:p>
    <w:p>
      <w:pPr>
        <w:spacing w:after="0" w:line="191" w:lineRule="exact"/>
        <w:rPr>
          <w:sz w:val="20"/>
          <w:szCs w:val="20"/>
          <w:color w:val="auto"/>
        </w:rPr>
      </w:pPr>
    </w:p>
    <w:p>
      <w:pPr>
        <w:ind w:right="60" w:firstLine="218"/>
        <w:spacing w:after="0" w:line="307" w:lineRule="auto"/>
        <w:rPr>
          <w:sz w:val="20"/>
          <w:szCs w:val="20"/>
          <w:color w:val="auto"/>
        </w:rPr>
      </w:pPr>
      <w:r>
        <w:rPr>
          <w:rFonts w:ascii="Arial" w:cs="Arial" w:eastAsia="Arial" w:hAnsi="Arial"/>
          <w:sz w:val="15"/>
          <w:szCs w:val="15"/>
          <w:color w:val="auto"/>
        </w:rPr>
        <w:t>The nominating/corporate governance committee of the Board of Directors is comprised of directors, Head, Nelson, Bennett, Blalock, Hill, Holloway, Mason and Wallis, all of the members of the Board who are not employees of United or any of its subsidiaries. The nominating/corporate governance committee reviews United’s corporate governance policies and guidelines and monitors compliance. In addition, the nominating/corporate governance committee is responsible for identifying individuals qualified to become Board members and recommending to the Board of Directors nominees for election and candidates for each committee appointed by the Board. A majority of the nominating/corporate governance committee members are “independent” under applicable federal securities laws and the Nasdaq Marketplace Rules. The nominating/corporate governance committee was organized in January 2004 and met one time during 2004. The nominating/corporate governance committee charter is available on United’s website, ucbi.com.</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Board of Directors unanimously recommends a vote “FOR” each nominee for director.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 NOMINATIONS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84" w:lineRule="exact"/>
        <w:rPr>
          <w:sz w:val="20"/>
          <w:szCs w:val="20"/>
          <w:color w:val="auto"/>
        </w:rPr>
      </w:pPr>
    </w:p>
    <w:p>
      <w:pPr>
        <w:ind w:right="80" w:firstLine="218"/>
        <w:spacing w:after="0" w:line="366" w:lineRule="auto"/>
        <w:rPr>
          <w:sz w:val="20"/>
          <w:szCs w:val="20"/>
          <w:color w:val="auto"/>
        </w:rPr>
      </w:pPr>
      <w:r>
        <w:rPr>
          <w:rFonts w:ascii="Arial" w:cs="Arial" w:eastAsia="Arial" w:hAnsi="Arial"/>
          <w:sz w:val="15"/>
          <w:szCs w:val="15"/>
          <w:color w:val="auto"/>
        </w:rPr>
        <w:t>The Board of Directors nominates individuals for election to the Board based on the recommendations of the nominating/corporate governance committee. A candidate for the Board of Directors must meet the eligibility requirements set forth in United’s bylaws and in any Board or committee resolutions.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Nominating/Corporate Governance Committee Procedures</w:t>
      </w:r>
    </w:p>
    <w:p>
      <w:pPr>
        <w:spacing w:after="0" w:line="184" w:lineRule="exact"/>
        <w:rPr>
          <w:sz w:val="20"/>
          <w:szCs w:val="20"/>
          <w:color w:val="auto"/>
        </w:rPr>
      </w:pPr>
    </w:p>
    <w:p>
      <w:pPr>
        <w:ind w:right="120" w:firstLine="218"/>
        <w:spacing w:after="0" w:line="249" w:lineRule="auto"/>
        <w:rPr>
          <w:sz w:val="20"/>
          <w:szCs w:val="20"/>
          <w:color w:val="auto"/>
        </w:rPr>
      </w:pPr>
      <w:r>
        <w:rPr>
          <w:rFonts w:ascii="Arial" w:cs="Arial" w:eastAsia="Arial" w:hAnsi="Arial"/>
          <w:sz w:val="18"/>
          <w:szCs w:val="18"/>
          <w:color w:val="auto"/>
        </w:rPr>
        <w:t>The nominating/corporate governance committee considers qualifications and characteristics that it, from time to time, deems appropriate when it selects individuals to be nominated for election to the Board of Directors. These qualifications and characteristics may include, without limitation, independence, integrity, business experience, education, accounting and financial expertise, age, diversity, reputation, civic and community relationships, and knowledge and experience in matters impacting financial institutions. In addition, prior to nominating an existing director for re-election to the Board of Directors, the nominating/corporate governance committee will consider and review an existing director’s Board and committee attendance, performance and length of Board service.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Nominations</w:t>
      </w:r>
    </w:p>
    <w:p>
      <w:pPr>
        <w:spacing w:after="0" w:line="197" w:lineRule="exact"/>
        <w:rPr>
          <w:sz w:val="20"/>
          <w:szCs w:val="20"/>
          <w:color w:val="auto"/>
        </w:rPr>
      </w:pPr>
    </w:p>
    <w:p>
      <w:pPr>
        <w:ind w:firstLine="218"/>
        <w:spacing w:after="0" w:line="271" w:lineRule="auto"/>
        <w:rPr>
          <w:sz w:val="20"/>
          <w:szCs w:val="20"/>
          <w:color w:val="auto"/>
        </w:rPr>
      </w:pPr>
      <w:r>
        <w:rPr>
          <w:rFonts w:ascii="Arial" w:cs="Arial" w:eastAsia="Arial" w:hAnsi="Arial"/>
          <w:sz w:val="17"/>
          <w:szCs w:val="17"/>
          <w:color w:val="auto"/>
        </w:rPr>
        <w:t>The Board of Directors and nominating/corporate governance committee of the Board will consider all director nominees properly recommended by any United shareholders in accordance with the analysis described above. Any shareholder wishing to recommend a candidate for consideration as a possible director nominee for election at an upcoming meeting of shareholders must provide timely, written notice to the Board of Directors in accordance with the procedures available on United’s website ucbi.com. The following is a summary of these procedures:</w:t>
      </w:r>
    </w:p>
    <w:p>
      <w:pPr>
        <w:spacing w:after="0" w:line="178" w:lineRule="exact"/>
        <w:rPr>
          <w:sz w:val="20"/>
          <w:szCs w:val="20"/>
          <w:color w:val="auto"/>
        </w:rPr>
      </w:pPr>
    </w:p>
    <w:p>
      <w:pPr>
        <w:ind w:left="1020" w:right="800" w:hanging="444"/>
        <w:spacing w:after="0" w:line="366" w:lineRule="auto"/>
        <w:tabs>
          <w:tab w:leader="none" w:pos="1020" w:val="left"/>
        </w:tabs>
        <w:numPr>
          <w:ilvl w:val="0"/>
          <w:numId w:val="9"/>
        </w:numPr>
        <w:rPr>
          <w:rFonts w:ascii="Arial" w:cs="Arial" w:eastAsia="Arial" w:hAnsi="Arial"/>
          <w:sz w:val="15"/>
          <w:szCs w:val="15"/>
          <w:color w:val="auto"/>
        </w:rPr>
      </w:pPr>
      <w:r>
        <w:rPr>
          <w:rFonts w:ascii="Arial" w:cs="Arial" w:eastAsia="Arial" w:hAnsi="Arial"/>
          <w:sz w:val="15"/>
          <w:szCs w:val="15"/>
          <w:color w:val="auto"/>
        </w:rPr>
        <w:t>In order to be considered timely, a nomination for the election of a director must be received by United no less than 120 days before the anniversary of the date United’s proxy statement was mailed to shareholders in connection with the previous year’s annual meeting.</w:t>
      </w:r>
    </w:p>
    <w:p>
      <w:pPr>
        <w:spacing w:after="0" w:line="110" w:lineRule="exact"/>
        <w:rPr>
          <w:rFonts w:ascii="Arial" w:cs="Arial" w:eastAsia="Arial" w:hAnsi="Arial"/>
          <w:sz w:val="15"/>
          <w:szCs w:val="15"/>
          <w:color w:val="auto"/>
        </w:rPr>
      </w:pPr>
    </w:p>
    <w:p>
      <w:pPr>
        <w:ind w:left="1020" w:hanging="444"/>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shareholder nomination for director must set forth, as to each nominee such shareholder proposes to nominate:</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1600" w:hanging="454"/>
        <w:spacing w:after="0"/>
        <w:tabs>
          <w:tab w:leader="none" w:pos="16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name and business or residence address of the nominee;</w:t>
      </w:r>
    </w:p>
    <w:p>
      <w:pPr>
        <w:spacing w:after="0" w:line="217" w:lineRule="exact"/>
        <w:rPr>
          <w:rFonts w:ascii="Arial" w:cs="Arial" w:eastAsia="Arial" w:hAnsi="Arial"/>
          <w:sz w:val="18"/>
          <w:szCs w:val="18"/>
          <w:color w:val="auto"/>
        </w:rPr>
      </w:pPr>
    </w:p>
    <w:p>
      <w:pPr>
        <w:ind w:left="1600" w:right="80" w:hanging="454"/>
        <w:spacing w:after="0" w:line="265" w:lineRule="auto"/>
        <w:tabs>
          <w:tab w:leader="none" w:pos="16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 Interagency Biographical and Financial Report available from the Federal Deposit Insurance Corporation completed and signed by the nominee;</w:t>
      </w:r>
    </w:p>
    <w:p>
      <w:pPr>
        <w:spacing w:after="0" w:line="179" w:lineRule="exact"/>
        <w:rPr>
          <w:rFonts w:ascii="Arial" w:cs="Arial" w:eastAsia="Arial" w:hAnsi="Arial"/>
          <w:sz w:val="18"/>
          <w:szCs w:val="18"/>
          <w:color w:val="auto"/>
        </w:rPr>
      </w:pPr>
    </w:p>
    <w:p>
      <w:pPr>
        <w:ind w:left="1600" w:hanging="454"/>
        <w:spacing w:after="0"/>
        <w:tabs>
          <w:tab w:leader="none" w:pos="16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class and number of shares of common stock of United which are beneficially owned by the person;</w:t>
      </w:r>
    </w:p>
    <w:p>
      <w:pPr>
        <w:spacing w:after="0" w:line="217" w:lineRule="exact"/>
        <w:rPr>
          <w:rFonts w:ascii="Arial" w:cs="Arial" w:eastAsia="Arial" w:hAnsi="Arial"/>
          <w:sz w:val="18"/>
          <w:szCs w:val="18"/>
          <w:color w:val="auto"/>
        </w:rPr>
      </w:pPr>
    </w:p>
    <w:p>
      <w:pPr>
        <w:ind w:left="1600" w:hanging="454"/>
        <w:spacing w:after="0"/>
        <w:tabs>
          <w:tab w:leader="none" w:pos="16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total number of shares that, to the knowledge of nominating shareholder, would be voted for such person; and</w:t>
      </w:r>
    </w:p>
    <w:p>
      <w:pPr>
        <w:spacing w:after="0" w:line="217" w:lineRule="exact"/>
        <w:rPr>
          <w:rFonts w:ascii="Arial" w:cs="Arial" w:eastAsia="Arial" w:hAnsi="Arial"/>
          <w:sz w:val="18"/>
          <w:szCs w:val="18"/>
          <w:color w:val="auto"/>
        </w:rPr>
      </w:pPr>
    </w:p>
    <w:p>
      <w:pPr>
        <w:ind w:left="1600" w:hanging="454"/>
        <w:spacing w:after="0"/>
        <w:tabs>
          <w:tab w:leader="none" w:pos="16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signed consent of the nominee to serve, if elected.</w:t>
      </w:r>
    </w:p>
    <w:p>
      <w:pPr>
        <w:spacing w:after="0" w:line="217" w:lineRule="exact"/>
        <w:rPr>
          <w:rFonts w:ascii="Arial" w:cs="Arial" w:eastAsia="Arial" w:hAnsi="Arial"/>
          <w:sz w:val="18"/>
          <w:szCs w:val="18"/>
          <w:color w:val="auto"/>
        </w:rPr>
      </w:pPr>
    </w:p>
    <w:p>
      <w:pPr>
        <w:ind w:left="1020" w:hanging="444"/>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notice by a nominating shareholder shall also set forth:</w:t>
      </w:r>
    </w:p>
    <w:p>
      <w:pPr>
        <w:spacing w:after="0" w:line="217" w:lineRule="exact"/>
        <w:rPr>
          <w:rFonts w:ascii="Arial" w:cs="Arial" w:eastAsia="Arial" w:hAnsi="Arial"/>
          <w:sz w:val="18"/>
          <w:szCs w:val="18"/>
          <w:color w:val="auto"/>
        </w:rPr>
      </w:pPr>
    </w:p>
    <w:p>
      <w:pPr>
        <w:ind w:left="1600" w:hanging="454"/>
        <w:spacing w:after="0"/>
        <w:tabs>
          <w:tab w:leader="none" w:pos="16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name and residence address of such shareholder; and</w:t>
      </w:r>
    </w:p>
    <w:p>
      <w:pPr>
        <w:spacing w:after="0" w:line="217" w:lineRule="exact"/>
        <w:rPr>
          <w:rFonts w:ascii="Arial" w:cs="Arial" w:eastAsia="Arial" w:hAnsi="Arial"/>
          <w:sz w:val="18"/>
          <w:szCs w:val="18"/>
          <w:color w:val="auto"/>
        </w:rPr>
      </w:pPr>
    </w:p>
    <w:p>
      <w:pPr>
        <w:ind w:left="1600" w:hanging="454"/>
        <w:spacing w:after="0"/>
        <w:tabs>
          <w:tab w:leader="none" w:pos="16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class and number of shares of common stock United which are beneficially owned by such shareholder.</w:t>
      </w:r>
    </w:p>
    <w:p>
      <w:pPr>
        <w:spacing w:after="0" w:line="2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Notices shall be sent to the Secretary, United Community Banks, Inc., P.O. Box 398, Blairsville, Georgia 30514-0398.</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CODE OF ETHICAL CONDUCT</w:t>
      </w:r>
    </w:p>
    <w:p>
      <w:pPr>
        <w:spacing w:after="0" w:line="184" w:lineRule="exact"/>
        <w:rPr>
          <w:sz w:val="20"/>
          <w:szCs w:val="20"/>
          <w:color w:val="auto"/>
        </w:rPr>
      </w:pPr>
    </w:p>
    <w:p>
      <w:pPr>
        <w:ind w:right="60" w:firstLine="221"/>
        <w:spacing w:after="0" w:line="312" w:lineRule="auto"/>
        <w:rPr>
          <w:sz w:val="20"/>
          <w:szCs w:val="20"/>
          <w:color w:val="auto"/>
        </w:rPr>
      </w:pPr>
      <w:r>
        <w:rPr>
          <w:rFonts w:ascii="Arial" w:cs="Arial" w:eastAsia="Arial" w:hAnsi="Arial"/>
          <w:sz w:val="15"/>
          <w:szCs w:val="15"/>
          <w:color w:val="auto"/>
        </w:rPr>
        <w:t>United has adopted a Code of Ethical Conduct designed to promote ethical conduct by all of United’s directors and principal financial and executive officers. The Code of Ethical Conduct complies with the federal securities law requirement that issuers have a code of ethics applicable to principal financial officers. United has also revised its employee Code of Conduct to comply with the Nasdaq Marketplace Rules. United’s Code of Ethical Conduct is available on its website and was filed as Exhibit 14 to its Annual Report on Form 10-K for the year ended December 31, 2003. Thus far, we have not had any amendment to or waiver of the Code of Ethical Conduct. If we do, we will post any such amendment or waiver on United’s website, ucbi.com.</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COMPENSATION OF DIRECTORS AND EXECUTIVE OFFICERS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84" w:lineRule="exact"/>
        <w:rPr>
          <w:sz w:val="20"/>
          <w:szCs w:val="20"/>
          <w:color w:val="auto"/>
        </w:rPr>
      </w:pPr>
    </w:p>
    <w:p>
      <w:pPr>
        <w:jc w:val="both"/>
        <w:ind w:firstLine="221"/>
        <w:spacing w:after="0" w:line="255" w:lineRule="auto"/>
        <w:rPr>
          <w:sz w:val="20"/>
          <w:szCs w:val="20"/>
          <w:color w:val="auto"/>
        </w:rPr>
      </w:pPr>
      <w:r>
        <w:rPr>
          <w:rFonts w:ascii="Arial" w:cs="Arial" w:eastAsia="Arial" w:hAnsi="Arial"/>
          <w:sz w:val="18"/>
          <w:szCs w:val="18"/>
          <w:color w:val="auto"/>
        </w:rPr>
        <w:t>Non-employee Directors of United received an annual retainer of $20,000 and a separate meeting fee of $1,000 for each Board meeting attended during 2004. Certain members of United’s Board of Directors also serve as members of one or more of the boards of directors or advisory boards of directors of United’s bank subsidiaries, for which they are compensated by the bank subsidiaries.</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197" w:lineRule="exact"/>
        <w:rPr>
          <w:sz w:val="20"/>
          <w:szCs w:val="20"/>
          <w:color w:val="auto"/>
        </w:rPr>
      </w:pPr>
    </w:p>
    <w:p>
      <w:pPr>
        <w:ind w:right="420" w:firstLine="218"/>
        <w:spacing w:after="0" w:line="265" w:lineRule="auto"/>
        <w:rPr>
          <w:sz w:val="20"/>
          <w:szCs w:val="20"/>
          <w:color w:val="auto"/>
        </w:rPr>
      </w:pPr>
      <w:r>
        <w:rPr>
          <w:rFonts w:ascii="Arial" w:cs="Arial" w:eastAsia="Arial" w:hAnsi="Arial"/>
          <w:sz w:val="18"/>
          <w:szCs w:val="18"/>
          <w:color w:val="auto"/>
        </w:rPr>
        <w:t>The following table sets forth in summary form the compensation paid during the past three years to the Chief Executive Officer and the four other most highly compensated executive officers (collectively, the “named executive officers”) during 2004.</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 Table</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40" w:type="dxa"/>
            <w:vAlign w:val="bottom"/>
            <w:gridSpan w:val="3"/>
            <w:vMerge w:val="restart"/>
          </w:tcPr>
          <w:p>
            <w:pPr>
              <w:jc w:val="center"/>
              <w:spacing w:after="0"/>
              <w:rPr>
                <w:sz w:val="20"/>
                <w:szCs w:val="20"/>
                <w:color w:val="auto"/>
              </w:rPr>
            </w:pPr>
            <w:r>
              <w:rPr>
                <w:rFonts w:ascii="Arial" w:cs="Arial" w:eastAsia="Arial" w:hAnsi="Arial"/>
                <w:sz w:val="14"/>
                <w:szCs w:val="14"/>
                <w:color w:val="auto"/>
                <w:w w:val="91"/>
              </w:rPr>
              <w:t>Annual Compensation</w:t>
            </w: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60" w:type="dxa"/>
            <w:vAlign w:val="bottom"/>
            <w:gridSpan w:val="4"/>
          </w:tcPr>
          <w:p>
            <w:pPr>
              <w:ind w:left="220"/>
              <w:spacing w:after="0"/>
              <w:rPr>
                <w:sz w:val="20"/>
                <w:szCs w:val="20"/>
                <w:color w:val="auto"/>
              </w:rPr>
            </w:pPr>
            <w:r>
              <w:rPr>
                <w:rFonts w:ascii="Arial" w:cs="Arial" w:eastAsia="Arial" w:hAnsi="Arial"/>
                <w:sz w:val="14"/>
                <w:szCs w:val="14"/>
                <w:color w:val="auto"/>
              </w:rPr>
              <w:t>Long-Term Compensation</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3"/>
            <w:vMerge w:val="continue"/>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4"/>
                <w:szCs w:val="14"/>
                <w:color w:val="auto"/>
                <w:w w:val="91"/>
              </w:rPr>
              <w:t>Securities</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2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gridSpan w:val="2"/>
          </w:tcPr>
          <w:p>
            <w:pPr>
              <w:jc w:val="right"/>
              <w:ind w:right="565"/>
              <w:spacing w:after="0" w:line="121" w:lineRule="exact"/>
              <w:rPr>
                <w:sz w:val="20"/>
                <w:szCs w:val="20"/>
                <w:color w:val="auto"/>
              </w:rPr>
            </w:pPr>
            <w:r>
              <w:rPr>
                <w:rFonts w:ascii="Arial" w:cs="Arial" w:eastAsia="Arial" w:hAnsi="Arial"/>
                <w:sz w:val="13"/>
                <w:szCs w:val="13"/>
                <w:color w:val="auto"/>
              </w:rPr>
              <w:t>Restricted</w:t>
            </w:r>
          </w:p>
        </w:tc>
        <w:tc>
          <w:tcPr>
            <w:tcW w:w="880" w:type="dxa"/>
            <w:vAlign w:val="bottom"/>
            <w:gridSpan w:val="2"/>
          </w:tcPr>
          <w:p>
            <w:pPr>
              <w:jc w:val="center"/>
              <w:ind w:right="200"/>
              <w:spacing w:after="0" w:line="121" w:lineRule="exact"/>
              <w:rPr>
                <w:sz w:val="20"/>
                <w:szCs w:val="20"/>
                <w:color w:val="auto"/>
              </w:rPr>
            </w:pPr>
            <w:r>
              <w:rPr>
                <w:rFonts w:ascii="Arial" w:cs="Arial" w:eastAsia="Arial" w:hAnsi="Arial"/>
                <w:sz w:val="13"/>
                <w:szCs w:val="13"/>
                <w:color w:val="auto"/>
              </w:rPr>
              <w:t>Underlying</w:t>
            </w:r>
          </w:p>
        </w:tc>
        <w:tc>
          <w:tcPr>
            <w:tcW w:w="220" w:type="dxa"/>
            <w:vAlign w:val="bottom"/>
          </w:tcPr>
          <w:p>
            <w:pPr>
              <w:spacing w:after="0"/>
              <w:rPr>
                <w:sz w:val="10"/>
                <w:szCs w:val="10"/>
                <w:color w:val="auto"/>
              </w:rPr>
            </w:pPr>
          </w:p>
        </w:tc>
        <w:tc>
          <w:tcPr>
            <w:tcW w:w="1060" w:type="dxa"/>
            <w:vAlign w:val="bottom"/>
            <w:gridSpan w:val="2"/>
          </w:tcPr>
          <w:p>
            <w:pPr>
              <w:jc w:val="right"/>
              <w:ind w:right="305"/>
              <w:spacing w:after="0" w:line="121" w:lineRule="exact"/>
              <w:rPr>
                <w:sz w:val="20"/>
                <w:szCs w:val="20"/>
                <w:color w:val="auto"/>
              </w:rPr>
            </w:pPr>
            <w:r>
              <w:rPr>
                <w:rFonts w:ascii="Arial" w:cs="Arial" w:eastAsia="Arial" w:hAnsi="Arial"/>
                <w:sz w:val="13"/>
                <w:szCs w:val="13"/>
                <w:color w:val="auto"/>
              </w:rPr>
              <w:t>All Other</w:t>
            </w:r>
          </w:p>
        </w:tc>
        <w:tc>
          <w:tcPr>
            <w:tcW w:w="0" w:type="dxa"/>
            <w:vAlign w:val="bottom"/>
          </w:tcPr>
          <w:p>
            <w:pPr>
              <w:spacing w:after="0"/>
              <w:rPr>
                <w:sz w:val="1"/>
                <w:szCs w:val="1"/>
                <w:color w:val="auto"/>
              </w:rPr>
            </w:pPr>
          </w:p>
        </w:tc>
      </w:tr>
      <w:tr>
        <w:trPr>
          <w:trHeight w:val="164"/>
        </w:trPr>
        <w:tc>
          <w:tcPr>
            <w:tcW w:w="3200" w:type="dxa"/>
            <w:vAlign w:val="bottom"/>
          </w:tcPr>
          <w:p>
            <w:pPr>
              <w:spacing w:after="0"/>
              <w:rPr>
                <w:sz w:val="20"/>
                <w:szCs w:val="20"/>
                <w:color w:val="auto"/>
              </w:rPr>
            </w:pPr>
            <w:r>
              <w:rPr>
                <w:rFonts w:ascii="Arial" w:cs="Arial" w:eastAsia="Arial" w:hAnsi="Arial"/>
                <w:sz w:val="14"/>
                <w:szCs w:val="14"/>
                <w:color w:val="auto"/>
              </w:rPr>
              <w:t>Executive Officers</w:t>
            </w:r>
          </w:p>
        </w:tc>
        <w:tc>
          <w:tcPr>
            <w:tcW w:w="1380" w:type="dxa"/>
            <w:vAlign w:val="bottom"/>
            <w:vMerge w:val="restart"/>
          </w:tcPr>
          <w:p>
            <w:pPr>
              <w:jc w:val="right"/>
              <w:ind w:right="332"/>
              <w:spacing w:after="0"/>
              <w:rPr>
                <w:sz w:val="20"/>
                <w:szCs w:val="20"/>
                <w:color w:val="auto"/>
              </w:rPr>
            </w:pPr>
            <w:r>
              <w:rPr>
                <w:rFonts w:ascii="Arial" w:cs="Arial" w:eastAsia="Arial" w:hAnsi="Arial"/>
                <w:sz w:val="18"/>
                <w:szCs w:val="18"/>
                <w:color w:val="auto"/>
              </w:rPr>
              <w:t>2004</w:t>
            </w:r>
          </w:p>
        </w:tc>
        <w:tc>
          <w:tcPr>
            <w:tcW w:w="680" w:type="dxa"/>
            <w:vAlign w:val="bottom"/>
          </w:tcPr>
          <w:p>
            <w:pPr>
              <w:jc w:val="right"/>
              <w:ind w:right="73"/>
              <w:spacing w:after="0"/>
              <w:rPr>
                <w:sz w:val="20"/>
                <w:szCs w:val="20"/>
                <w:color w:val="auto"/>
              </w:rPr>
            </w:pPr>
            <w:r>
              <w:rPr>
                <w:rFonts w:ascii="Arial" w:cs="Arial" w:eastAsia="Arial" w:hAnsi="Arial"/>
                <w:sz w:val="14"/>
                <w:szCs w:val="14"/>
                <w:color w:val="auto"/>
              </w:rPr>
              <w:t>Salary</w:t>
            </w:r>
          </w:p>
        </w:tc>
        <w:tc>
          <w:tcPr>
            <w:tcW w:w="420" w:type="dxa"/>
            <w:vAlign w:val="bottom"/>
          </w:tcPr>
          <w:p>
            <w:pPr>
              <w:spacing w:after="0"/>
              <w:rPr>
                <w:sz w:val="14"/>
                <w:szCs w:val="14"/>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4"/>
                <w:szCs w:val="14"/>
                <w:color w:val="auto"/>
                <w:w w:val="90"/>
              </w:rPr>
              <w:t>Bonus</w:t>
            </w:r>
          </w:p>
        </w:tc>
        <w:tc>
          <w:tcPr>
            <w:tcW w:w="1020" w:type="dxa"/>
            <w:vAlign w:val="bottom"/>
            <w:gridSpan w:val="2"/>
          </w:tcPr>
          <w:p>
            <w:pPr>
              <w:jc w:val="right"/>
              <w:ind w:right="445"/>
              <w:spacing w:after="0"/>
              <w:rPr>
                <w:sz w:val="20"/>
                <w:szCs w:val="20"/>
                <w:color w:val="auto"/>
              </w:rPr>
            </w:pPr>
            <w:r>
              <w:rPr>
                <w:rFonts w:ascii="Arial" w:cs="Arial" w:eastAsia="Arial" w:hAnsi="Arial"/>
                <w:sz w:val="14"/>
                <w:szCs w:val="14"/>
                <w:color w:val="auto"/>
              </w:rPr>
              <w:t>Other</w:t>
            </w:r>
          </w:p>
        </w:tc>
        <w:tc>
          <w:tcPr>
            <w:tcW w:w="1440" w:type="dxa"/>
            <w:vAlign w:val="bottom"/>
            <w:gridSpan w:val="3"/>
          </w:tcPr>
          <w:p>
            <w:pPr>
              <w:jc w:val="right"/>
              <w:ind w:right="485"/>
              <w:spacing w:after="0"/>
              <w:rPr>
                <w:sz w:val="20"/>
                <w:szCs w:val="20"/>
                <w:color w:val="auto"/>
              </w:rPr>
            </w:pPr>
            <w:r>
              <w:rPr>
                <w:rFonts w:ascii="Arial" w:cs="Arial" w:eastAsia="Arial" w:hAnsi="Arial"/>
                <w:sz w:val="14"/>
                <w:szCs w:val="14"/>
                <w:color w:val="auto"/>
              </w:rPr>
              <w:t>Stock Award</w:t>
            </w:r>
          </w:p>
        </w:tc>
        <w:tc>
          <w:tcPr>
            <w:tcW w:w="88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Options</w:t>
            </w:r>
          </w:p>
        </w:tc>
        <w:tc>
          <w:tcPr>
            <w:tcW w:w="1280" w:type="dxa"/>
            <w:vAlign w:val="bottom"/>
            <w:gridSpan w:val="3"/>
          </w:tcPr>
          <w:p>
            <w:pPr>
              <w:jc w:val="right"/>
              <w:ind w:right="165"/>
              <w:spacing w:after="0"/>
              <w:rPr>
                <w:sz w:val="20"/>
                <w:szCs w:val="20"/>
                <w:color w:val="auto"/>
              </w:rPr>
            </w:pPr>
            <w:r>
              <w:rPr>
                <w:rFonts w:ascii="Arial" w:cs="Arial" w:eastAsia="Arial" w:hAnsi="Arial"/>
                <w:sz w:val="14"/>
                <w:szCs w:val="14"/>
                <w:color w:val="auto"/>
              </w:rPr>
              <w:t>Compensation</w:t>
            </w:r>
          </w:p>
        </w:tc>
        <w:tc>
          <w:tcPr>
            <w:tcW w:w="0" w:type="dxa"/>
            <w:vAlign w:val="bottom"/>
          </w:tcPr>
          <w:p>
            <w:pPr>
              <w:spacing w:after="0"/>
              <w:rPr>
                <w:sz w:val="1"/>
                <w:szCs w:val="1"/>
                <w:color w:val="auto"/>
              </w:rPr>
            </w:pPr>
          </w:p>
        </w:tc>
      </w:tr>
      <w:tr>
        <w:trPr>
          <w:trHeight w:val="193"/>
        </w:trPr>
        <w:tc>
          <w:tcPr>
            <w:tcW w:w="3200" w:type="dxa"/>
            <w:vAlign w:val="bottom"/>
            <w:tcBorders>
              <w:top w:val="single" w:sz="8" w:color="auto"/>
            </w:tcBorders>
          </w:tcPr>
          <w:p>
            <w:pPr>
              <w:spacing w:after="0" w:line="193" w:lineRule="exact"/>
              <w:rPr>
                <w:sz w:val="20"/>
                <w:szCs w:val="20"/>
                <w:color w:val="auto"/>
              </w:rPr>
            </w:pPr>
            <w:r>
              <w:rPr>
                <w:rFonts w:ascii="Arial" w:cs="Arial" w:eastAsia="Arial" w:hAnsi="Arial"/>
                <w:sz w:val="18"/>
                <w:szCs w:val="18"/>
                <w:color w:val="auto"/>
              </w:rPr>
              <w:t>Jimmy C. Tallent</w:t>
            </w:r>
          </w:p>
        </w:tc>
        <w:tc>
          <w:tcPr>
            <w:tcW w:w="1380" w:type="dxa"/>
            <w:vAlign w:val="bottom"/>
            <w:vMerge w:val="continue"/>
          </w:tcPr>
          <w:p>
            <w:pPr>
              <w:spacing w:after="0"/>
              <w:rPr>
                <w:sz w:val="16"/>
                <w:szCs w:val="16"/>
                <w:color w:val="auto"/>
              </w:rPr>
            </w:pPr>
          </w:p>
        </w:tc>
        <w:tc>
          <w:tcPr>
            <w:tcW w:w="68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w w:val="82"/>
              </w:rPr>
              <w:t>$ 391,000</w:t>
            </w:r>
          </w:p>
        </w:tc>
        <w:tc>
          <w:tcPr>
            <w:tcW w:w="420" w:type="dxa"/>
            <w:vAlign w:val="bottom"/>
          </w:tcPr>
          <w:p>
            <w:pPr>
              <w:spacing w:after="0"/>
              <w:rPr>
                <w:sz w:val="16"/>
                <w:szCs w:val="16"/>
                <w:color w:val="auto"/>
              </w:rPr>
            </w:pPr>
          </w:p>
        </w:tc>
        <w:tc>
          <w:tcPr>
            <w:tcW w:w="70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w w:val="84"/>
              </w:rPr>
              <w:t>$ 400,000</w:t>
            </w:r>
          </w:p>
        </w:tc>
        <w:tc>
          <w:tcPr>
            <w:tcW w:w="420" w:type="dxa"/>
            <w:vAlign w:val="bottom"/>
          </w:tcPr>
          <w:p>
            <w:pPr>
              <w:spacing w:after="0"/>
              <w:rPr>
                <w:sz w:val="16"/>
                <w:szCs w:val="16"/>
                <w:color w:val="auto"/>
              </w:rPr>
            </w:pPr>
          </w:p>
        </w:tc>
        <w:tc>
          <w:tcPr>
            <w:tcW w:w="68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w w:val="94"/>
              </w:rPr>
              <w:t>$ 52,137</w:t>
            </w:r>
          </w:p>
        </w:tc>
        <w:tc>
          <w:tcPr>
            <w:tcW w:w="340" w:type="dxa"/>
            <w:vAlign w:val="bottom"/>
          </w:tcPr>
          <w:p>
            <w:pPr>
              <w:jc w:val="right"/>
              <w:ind w:right="105"/>
              <w:spacing w:after="0"/>
              <w:rPr>
                <w:sz w:val="20"/>
                <w:szCs w:val="20"/>
                <w:color w:val="auto"/>
              </w:rPr>
            </w:pPr>
            <w:r>
              <w:rPr>
                <w:rFonts w:ascii="Arial" w:cs="Arial" w:eastAsia="Arial" w:hAnsi="Arial"/>
                <w:sz w:val="15"/>
                <w:szCs w:val="15"/>
                <w:color w:val="auto"/>
                <w:w w:val="76"/>
              </w:rPr>
              <w:t>(1)</w:t>
            </w:r>
          </w:p>
        </w:tc>
        <w:tc>
          <w:tcPr>
            <w:tcW w:w="160" w:type="dxa"/>
            <w:vAlign w:val="bottom"/>
          </w:tcPr>
          <w:p>
            <w:pPr>
              <w:spacing w:after="0"/>
              <w:rPr>
                <w:sz w:val="16"/>
                <w:szCs w:val="16"/>
                <w:color w:val="auto"/>
              </w:rPr>
            </w:pPr>
          </w:p>
        </w:tc>
        <w:tc>
          <w:tcPr>
            <w:tcW w:w="72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w w:val="93"/>
              </w:rPr>
              <w:t>$  92,288</w:t>
            </w:r>
          </w:p>
        </w:tc>
        <w:tc>
          <w:tcPr>
            <w:tcW w:w="560" w:type="dxa"/>
            <w:vAlign w:val="bottom"/>
          </w:tcPr>
          <w:p>
            <w:pPr>
              <w:jc w:val="right"/>
              <w:ind w:right="325"/>
              <w:spacing w:after="0"/>
              <w:rPr>
                <w:sz w:val="20"/>
                <w:szCs w:val="20"/>
                <w:color w:val="auto"/>
              </w:rPr>
            </w:pPr>
            <w:r>
              <w:rPr>
                <w:rFonts w:ascii="Arial" w:cs="Arial" w:eastAsia="Arial" w:hAnsi="Arial"/>
                <w:sz w:val="15"/>
                <w:szCs w:val="15"/>
                <w:color w:val="auto"/>
                <w:w w:val="76"/>
              </w:rPr>
              <w:t>(2)</w:t>
            </w:r>
          </w:p>
        </w:tc>
        <w:tc>
          <w:tcPr>
            <w:tcW w:w="68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rPr>
              <w:t>17,000</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w w:val="99"/>
              </w:rPr>
              <w:t>$   52,278</w:t>
            </w:r>
          </w:p>
        </w:tc>
        <w:tc>
          <w:tcPr>
            <w:tcW w:w="240" w:type="dxa"/>
            <w:vAlign w:val="bottom"/>
          </w:tcPr>
          <w:p>
            <w:pPr>
              <w:jc w:val="right"/>
              <w:ind w:right="5"/>
              <w:spacing w:after="0"/>
              <w:rPr>
                <w:sz w:val="20"/>
                <w:szCs w:val="20"/>
                <w:color w:val="auto"/>
              </w:rPr>
            </w:pPr>
            <w:r>
              <w:rPr>
                <w:rFonts w:ascii="Arial" w:cs="Arial" w:eastAsia="Arial" w:hAnsi="Arial"/>
                <w:sz w:val="15"/>
                <w:szCs w:val="15"/>
                <w:color w:val="auto"/>
                <w:w w:val="76"/>
              </w:rPr>
              <w:t>(3)</w:t>
            </w:r>
          </w:p>
        </w:tc>
        <w:tc>
          <w:tcPr>
            <w:tcW w:w="0" w:type="dxa"/>
            <w:vAlign w:val="bottom"/>
          </w:tcPr>
          <w:p>
            <w:pPr>
              <w:spacing w:after="0"/>
              <w:rPr>
                <w:sz w:val="1"/>
                <w:szCs w:val="1"/>
                <w:color w:val="auto"/>
              </w:rPr>
            </w:pPr>
          </w:p>
        </w:tc>
      </w:tr>
      <w:tr>
        <w:trPr>
          <w:trHeight w:val="212"/>
        </w:trPr>
        <w:tc>
          <w:tcPr>
            <w:tcW w:w="3200" w:type="dxa"/>
            <w:vAlign w:val="bottom"/>
          </w:tcPr>
          <w:p>
            <w:pPr>
              <w:ind w:left="200"/>
              <w:spacing w:after="0"/>
              <w:rPr>
                <w:sz w:val="20"/>
                <w:szCs w:val="20"/>
                <w:color w:val="auto"/>
              </w:rPr>
            </w:pPr>
            <w:r>
              <w:rPr>
                <w:rFonts w:ascii="Arial" w:cs="Arial" w:eastAsia="Arial" w:hAnsi="Arial"/>
                <w:sz w:val="18"/>
                <w:szCs w:val="18"/>
                <w:color w:val="auto"/>
              </w:rPr>
              <w:t>President and Chief</w:t>
            </w:r>
          </w:p>
        </w:tc>
        <w:tc>
          <w:tcPr>
            <w:tcW w:w="1380" w:type="dxa"/>
            <w:vAlign w:val="bottom"/>
          </w:tcPr>
          <w:p>
            <w:pPr>
              <w:jc w:val="right"/>
              <w:ind w:right="332"/>
              <w:spacing w:after="0"/>
              <w:rPr>
                <w:sz w:val="20"/>
                <w:szCs w:val="20"/>
                <w:color w:val="auto"/>
              </w:rPr>
            </w:pPr>
            <w:r>
              <w:rPr>
                <w:rFonts w:ascii="Arial" w:cs="Arial" w:eastAsia="Arial" w:hAnsi="Arial"/>
                <w:sz w:val="18"/>
                <w:szCs w:val="18"/>
                <w:color w:val="auto"/>
              </w:rPr>
              <w:t>2003</w:t>
            </w:r>
          </w:p>
        </w:tc>
        <w:tc>
          <w:tcPr>
            <w:tcW w:w="680" w:type="dxa"/>
            <w:vAlign w:val="bottom"/>
          </w:tcPr>
          <w:p>
            <w:pPr>
              <w:jc w:val="right"/>
              <w:spacing w:after="0"/>
              <w:rPr>
                <w:sz w:val="20"/>
                <w:szCs w:val="20"/>
                <w:color w:val="auto"/>
              </w:rPr>
            </w:pPr>
            <w:r>
              <w:rPr>
                <w:rFonts w:ascii="Arial" w:cs="Arial" w:eastAsia="Arial" w:hAnsi="Arial"/>
                <w:sz w:val="18"/>
                <w:szCs w:val="18"/>
                <w:color w:val="auto"/>
              </w:rPr>
              <w:t>364,000</w:t>
            </w:r>
          </w:p>
        </w:tc>
        <w:tc>
          <w:tcPr>
            <w:tcW w:w="1540" w:type="dxa"/>
            <w:vAlign w:val="bottom"/>
            <w:gridSpan w:val="3"/>
          </w:tcPr>
          <w:p>
            <w:pPr>
              <w:jc w:val="right"/>
              <w:ind w:right="420"/>
              <w:spacing w:after="0"/>
              <w:rPr>
                <w:sz w:val="20"/>
                <w:szCs w:val="20"/>
                <w:color w:val="auto"/>
              </w:rPr>
            </w:pPr>
            <w:r>
              <w:rPr>
                <w:rFonts w:ascii="Arial" w:cs="Arial" w:eastAsia="Arial" w:hAnsi="Arial"/>
                <w:sz w:val="18"/>
                <w:szCs w:val="18"/>
                <w:color w:val="auto"/>
              </w:rPr>
              <w:t>300,000</w:t>
            </w:r>
          </w:p>
        </w:tc>
        <w:tc>
          <w:tcPr>
            <w:tcW w:w="1020" w:type="dxa"/>
            <w:vAlign w:val="bottom"/>
            <w:gridSpan w:val="2"/>
          </w:tcPr>
          <w:p>
            <w:pPr>
              <w:jc w:val="right"/>
              <w:ind w:right="105"/>
              <w:spacing w:after="0"/>
              <w:rPr>
                <w:sz w:val="20"/>
                <w:szCs w:val="20"/>
                <w:color w:val="auto"/>
              </w:rPr>
            </w:pPr>
            <w:r>
              <w:rPr>
                <w:rFonts w:ascii="Arial" w:cs="Arial" w:eastAsia="Arial" w:hAnsi="Arial"/>
                <w:sz w:val="18"/>
                <w:szCs w:val="18"/>
                <w:color w:val="auto"/>
              </w:rPr>
              <w:t>56,431</w:t>
            </w:r>
            <w:r>
              <w:rPr>
                <w:rFonts w:ascii="Arial" w:cs="Arial" w:eastAsia="Arial" w:hAnsi="Arial"/>
                <w:sz w:val="15"/>
                <w:szCs w:val="15"/>
                <w:color w:val="auto"/>
              </w:rPr>
              <w:t>(1)</w:t>
            </w:r>
          </w:p>
        </w:tc>
        <w:tc>
          <w:tcPr>
            <w:tcW w:w="160" w:type="dxa"/>
            <w:vAlign w:val="bottom"/>
          </w:tcPr>
          <w:p>
            <w:pPr>
              <w:spacing w:after="0"/>
              <w:rPr>
                <w:sz w:val="18"/>
                <w:szCs w:val="18"/>
                <w:color w:val="auto"/>
              </w:rPr>
            </w:pPr>
          </w:p>
        </w:tc>
        <w:tc>
          <w:tcPr>
            <w:tcW w:w="1280" w:type="dxa"/>
            <w:vAlign w:val="bottom"/>
            <w:gridSpan w:val="2"/>
          </w:tcPr>
          <w:p>
            <w:pPr>
              <w:jc w:val="right"/>
              <w:ind w:right="485"/>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45,000</w:t>
            </w:r>
          </w:p>
        </w:tc>
        <w:tc>
          <w:tcPr>
            <w:tcW w:w="1280" w:type="dxa"/>
            <w:vAlign w:val="bottom"/>
            <w:gridSpan w:val="3"/>
          </w:tcPr>
          <w:p>
            <w:pPr>
              <w:jc w:val="right"/>
              <w:ind w:right="5"/>
              <w:spacing w:after="0"/>
              <w:rPr>
                <w:sz w:val="20"/>
                <w:szCs w:val="20"/>
                <w:color w:val="auto"/>
              </w:rPr>
            </w:pPr>
            <w:r>
              <w:rPr>
                <w:rFonts w:ascii="Arial" w:cs="Arial" w:eastAsia="Arial" w:hAnsi="Arial"/>
                <w:sz w:val="18"/>
                <w:szCs w:val="18"/>
                <w:color w:val="auto"/>
              </w:rPr>
              <w:t>22,661</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42"/>
        </w:trPr>
        <w:tc>
          <w:tcPr>
            <w:tcW w:w="3200" w:type="dxa"/>
            <w:vAlign w:val="bottom"/>
          </w:tcPr>
          <w:p>
            <w:pPr>
              <w:ind w:left="200"/>
              <w:spacing w:after="0"/>
              <w:rPr>
                <w:sz w:val="20"/>
                <w:szCs w:val="20"/>
                <w:color w:val="auto"/>
              </w:rPr>
            </w:pPr>
            <w:r>
              <w:rPr>
                <w:rFonts w:ascii="Arial" w:cs="Arial" w:eastAsia="Arial" w:hAnsi="Arial"/>
                <w:sz w:val="18"/>
                <w:szCs w:val="18"/>
                <w:color w:val="auto"/>
              </w:rPr>
              <w:t>Executive Officer</w:t>
            </w:r>
          </w:p>
        </w:tc>
        <w:tc>
          <w:tcPr>
            <w:tcW w:w="1380" w:type="dxa"/>
            <w:vAlign w:val="bottom"/>
          </w:tcPr>
          <w:p>
            <w:pPr>
              <w:jc w:val="right"/>
              <w:ind w:right="332"/>
              <w:spacing w:after="0"/>
              <w:rPr>
                <w:sz w:val="20"/>
                <w:szCs w:val="20"/>
                <w:color w:val="auto"/>
              </w:rPr>
            </w:pPr>
            <w:r>
              <w:rPr>
                <w:rFonts w:ascii="Arial" w:cs="Arial" w:eastAsia="Arial" w:hAnsi="Arial"/>
                <w:sz w:val="18"/>
                <w:szCs w:val="18"/>
                <w:color w:val="auto"/>
              </w:rPr>
              <w:t>2002</w:t>
            </w:r>
          </w:p>
        </w:tc>
        <w:tc>
          <w:tcPr>
            <w:tcW w:w="680" w:type="dxa"/>
            <w:vAlign w:val="bottom"/>
          </w:tcPr>
          <w:p>
            <w:pPr>
              <w:jc w:val="right"/>
              <w:spacing w:after="0"/>
              <w:rPr>
                <w:sz w:val="20"/>
                <w:szCs w:val="20"/>
                <w:color w:val="auto"/>
              </w:rPr>
            </w:pPr>
            <w:r>
              <w:rPr>
                <w:rFonts w:ascii="Arial" w:cs="Arial" w:eastAsia="Arial" w:hAnsi="Arial"/>
                <w:sz w:val="18"/>
                <w:szCs w:val="18"/>
                <w:color w:val="auto"/>
              </w:rPr>
              <w:t>350,000</w:t>
            </w:r>
          </w:p>
        </w:tc>
        <w:tc>
          <w:tcPr>
            <w:tcW w:w="1540" w:type="dxa"/>
            <w:vAlign w:val="bottom"/>
            <w:gridSpan w:val="3"/>
          </w:tcPr>
          <w:p>
            <w:pPr>
              <w:jc w:val="right"/>
              <w:ind w:right="420"/>
              <w:spacing w:after="0"/>
              <w:rPr>
                <w:sz w:val="20"/>
                <w:szCs w:val="20"/>
                <w:color w:val="auto"/>
              </w:rPr>
            </w:pPr>
            <w:r>
              <w:rPr>
                <w:rFonts w:ascii="Arial" w:cs="Arial" w:eastAsia="Arial" w:hAnsi="Arial"/>
                <w:sz w:val="18"/>
                <w:szCs w:val="18"/>
                <w:color w:val="auto"/>
              </w:rPr>
              <w:t>265,000</w:t>
            </w:r>
          </w:p>
        </w:tc>
        <w:tc>
          <w:tcPr>
            <w:tcW w:w="1020" w:type="dxa"/>
            <w:vAlign w:val="bottom"/>
            <w:gridSpan w:val="2"/>
          </w:tcPr>
          <w:p>
            <w:pPr>
              <w:jc w:val="right"/>
              <w:ind w:right="105"/>
              <w:spacing w:after="0"/>
              <w:rPr>
                <w:sz w:val="20"/>
                <w:szCs w:val="20"/>
                <w:color w:val="auto"/>
              </w:rPr>
            </w:pPr>
            <w:r>
              <w:rPr>
                <w:rFonts w:ascii="Arial" w:cs="Arial" w:eastAsia="Arial" w:hAnsi="Arial"/>
                <w:sz w:val="18"/>
                <w:szCs w:val="18"/>
                <w:color w:val="auto"/>
              </w:rPr>
              <w:t>62,812</w:t>
            </w:r>
            <w:r>
              <w:rPr>
                <w:rFonts w:ascii="Arial" w:cs="Arial" w:eastAsia="Arial" w:hAnsi="Arial"/>
                <w:sz w:val="15"/>
                <w:szCs w:val="15"/>
                <w:color w:val="auto"/>
              </w:rPr>
              <w:t>(1)</w:t>
            </w:r>
          </w:p>
        </w:tc>
        <w:tc>
          <w:tcPr>
            <w:tcW w:w="160" w:type="dxa"/>
            <w:vAlign w:val="bottom"/>
          </w:tcPr>
          <w:p>
            <w:pPr>
              <w:spacing w:after="0"/>
              <w:rPr>
                <w:sz w:val="21"/>
                <w:szCs w:val="21"/>
                <w:color w:val="auto"/>
              </w:rPr>
            </w:pPr>
          </w:p>
        </w:tc>
        <w:tc>
          <w:tcPr>
            <w:tcW w:w="1280" w:type="dxa"/>
            <w:vAlign w:val="bottom"/>
            <w:gridSpan w:val="2"/>
          </w:tcPr>
          <w:p>
            <w:pPr>
              <w:jc w:val="right"/>
              <w:ind w:right="485"/>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60,000</w:t>
            </w:r>
          </w:p>
        </w:tc>
        <w:tc>
          <w:tcPr>
            <w:tcW w:w="1280" w:type="dxa"/>
            <w:vAlign w:val="bottom"/>
            <w:gridSpan w:val="3"/>
          </w:tcPr>
          <w:p>
            <w:pPr>
              <w:jc w:val="right"/>
              <w:ind w:right="5"/>
              <w:spacing w:after="0"/>
              <w:rPr>
                <w:sz w:val="20"/>
                <w:szCs w:val="20"/>
                <w:color w:val="auto"/>
              </w:rPr>
            </w:pPr>
            <w:r>
              <w:rPr>
                <w:rFonts w:ascii="Arial" w:cs="Arial" w:eastAsia="Arial" w:hAnsi="Arial"/>
                <w:sz w:val="18"/>
                <w:szCs w:val="18"/>
                <w:color w:val="auto"/>
              </w:rPr>
              <w:t>22,556</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394"/>
        </w:trPr>
        <w:tc>
          <w:tcPr>
            <w:tcW w:w="3200" w:type="dxa"/>
            <w:vAlign w:val="bottom"/>
          </w:tcPr>
          <w:p>
            <w:pPr>
              <w:spacing w:after="0"/>
              <w:rPr>
                <w:sz w:val="20"/>
                <w:szCs w:val="20"/>
                <w:color w:val="auto"/>
              </w:rPr>
            </w:pPr>
            <w:r>
              <w:rPr>
                <w:rFonts w:ascii="Arial" w:cs="Arial" w:eastAsia="Arial" w:hAnsi="Arial"/>
                <w:sz w:val="18"/>
                <w:szCs w:val="18"/>
                <w:color w:val="auto"/>
              </w:rPr>
              <w:t>Guy W. Freeman</w:t>
            </w:r>
          </w:p>
        </w:tc>
        <w:tc>
          <w:tcPr>
            <w:tcW w:w="1380" w:type="dxa"/>
            <w:vAlign w:val="bottom"/>
          </w:tcPr>
          <w:p>
            <w:pPr>
              <w:jc w:val="right"/>
              <w:ind w:right="332"/>
              <w:spacing w:after="0"/>
              <w:rPr>
                <w:sz w:val="20"/>
                <w:szCs w:val="20"/>
                <w:color w:val="auto"/>
              </w:rPr>
            </w:pPr>
            <w:r>
              <w:rPr>
                <w:rFonts w:ascii="Arial" w:cs="Arial" w:eastAsia="Arial" w:hAnsi="Arial"/>
                <w:sz w:val="18"/>
                <w:szCs w:val="18"/>
                <w:color w:val="auto"/>
              </w:rPr>
              <w:t>2004</w:t>
            </w:r>
          </w:p>
        </w:tc>
        <w:tc>
          <w:tcPr>
            <w:tcW w:w="680" w:type="dxa"/>
            <w:vAlign w:val="bottom"/>
          </w:tcPr>
          <w:p>
            <w:pPr>
              <w:jc w:val="right"/>
              <w:spacing w:after="0"/>
              <w:rPr>
                <w:sz w:val="20"/>
                <w:szCs w:val="20"/>
                <w:color w:val="auto"/>
              </w:rPr>
            </w:pPr>
            <w:r>
              <w:rPr>
                <w:rFonts w:ascii="Arial" w:cs="Arial" w:eastAsia="Arial" w:hAnsi="Arial"/>
                <w:sz w:val="18"/>
                <w:szCs w:val="18"/>
                <w:color w:val="auto"/>
              </w:rPr>
              <w:t>260,250</w:t>
            </w:r>
          </w:p>
        </w:tc>
        <w:tc>
          <w:tcPr>
            <w:tcW w:w="1540" w:type="dxa"/>
            <w:vAlign w:val="bottom"/>
            <w:gridSpan w:val="3"/>
          </w:tcPr>
          <w:p>
            <w:pPr>
              <w:jc w:val="right"/>
              <w:ind w:right="420"/>
              <w:spacing w:after="0"/>
              <w:rPr>
                <w:sz w:val="20"/>
                <w:szCs w:val="20"/>
                <w:color w:val="auto"/>
              </w:rPr>
            </w:pPr>
            <w:r>
              <w:rPr>
                <w:rFonts w:ascii="Arial" w:cs="Arial" w:eastAsia="Arial" w:hAnsi="Arial"/>
                <w:sz w:val="18"/>
                <w:szCs w:val="18"/>
                <w:color w:val="auto"/>
              </w:rPr>
              <w:t>190,000</w:t>
            </w:r>
          </w:p>
        </w:tc>
        <w:tc>
          <w:tcPr>
            <w:tcW w:w="1020" w:type="dxa"/>
            <w:vAlign w:val="bottom"/>
            <w:gridSpan w:val="2"/>
          </w:tcPr>
          <w:p>
            <w:pPr>
              <w:jc w:val="right"/>
              <w:ind w:right="265"/>
              <w:spacing w:after="0"/>
              <w:rPr>
                <w:sz w:val="20"/>
                <w:szCs w:val="20"/>
                <w:color w:val="auto"/>
              </w:rPr>
            </w:pPr>
            <w:r>
              <w:rPr>
                <w:rFonts w:ascii="Arial" w:cs="Arial" w:eastAsia="Arial" w:hAnsi="Arial"/>
                <w:sz w:val="15"/>
                <w:szCs w:val="15"/>
                <w:color w:val="auto"/>
              </w:rPr>
              <w:t>(4)</w:t>
            </w:r>
          </w:p>
        </w:tc>
        <w:tc>
          <w:tcPr>
            <w:tcW w:w="1440" w:type="dxa"/>
            <w:vAlign w:val="bottom"/>
            <w:gridSpan w:val="3"/>
          </w:tcPr>
          <w:p>
            <w:pPr>
              <w:jc w:val="right"/>
              <w:ind w:right="325"/>
              <w:spacing w:after="0"/>
              <w:rPr>
                <w:sz w:val="20"/>
                <w:szCs w:val="20"/>
                <w:color w:val="auto"/>
              </w:rPr>
            </w:pPr>
            <w:r>
              <w:rPr>
                <w:rFonts w:ascii="Arial" w:cs="Arial" w:eastAsia="Arial" w:hAnsi="Arial"/>
                <w:sz w:val="18"/>
                <w:szCs w:val="18"/>
                <w:color w:val="auto"/>
              </w:rPr>
              <w:t>54,142</w:t>
            </w:r>
            <w:r>
              <w:rPr>
                <w:rFonts w:ascii="Arial" w:cs="Arial" w:eastAsia="Arial" w:hAnsi="Arial"/>
                <w:sz w:val="15"/>
                <w:szCs w:val="15"/>
                <w:color w:val="auto"/>
              </w:rPr>
              <w:t>(5)</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10,000</w:t>
            </w:r>
          </w:p>
        </w:tc>
        <w:tc>
          <w:tcPr>
            <w:tcW w:w="1280" w:type="dxa"/>
            <w:vAlign w:val="bottom"/>
            <w:gridSpan w:val="3"/>
          </w:tcPr>
          <w:p>
            <w:pPr>
              <w:jc w:val="right"/>
              <w:ind w:right="5"/>
              <w:spacing w:after="0"/>
              <w:rPr>
                <w:sz w:val="20"/>
                <w:szCs w:val="20"/>
                <w:color w:val="auto"/>
              </w:rPr>
            </w:pPr>
            <w:r>
              <w:rPr>
                <w:rFonts w:ascii="Arial" w:cs="Arial" w:eastAsia="Arial" w:hAnsi="Arial"/>
                <w:sz w:val="18"/>
                <w:szCs w:val="18"/>
                <w:color w:val="auto"/>
              </w:rPr>
              <w:t>20,142</w:t>
            </w: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12"/>
        </w:trPr>
        <w:tc>
          <w:tcPr>
            <w:tcW w:w="3200" w:type="dxa"/>
            <w:vAlign w:val="bottom"/>
          </w:tcPr>
          <w:p>
            <w:pPr>
              <w:ind w:left="200"/>
              <w:spacing w:after="0"/>
              <w:rPr>
                <w:sz w:val="20"/>
                <w:szCs w:val="20"/>
                <w:color w:val="auto"/>
              </w:rPr>
            </w:pPr>
            <w:r>
              <w:rPr>
                <w:rFonts w:ascii="Arial" w:cs="Arial" w:eastAsia="Arial" w:hAnsi="Arial"/>
                <w:sz w:val="18"/>
                <w:szCs w:val="18"/>
                <w:color w:val="auto"/>
              </w:rPr>
              <w:t>Executive Vice President</w:t>
            </w:r>
          </w:p>
        </w:tc>
        <w:tc>
          <w:tcPr>
            <w:tcW w:w="1380" w:type="dxa"/>
            <w:vAlign w:val="bottom"/>
          </w:tcPr>
          <w:p>
            <w:pPr>
              <w:jc w:val="right"/>
              <w:ind w:right="332"/>
              <w:spacing w:after="0"/>
              <w:rPr>
                <w:sz w:val="20"/>
                <w:szCs w:val="20"/>
                <w:color w:val="auto"/>
              </w:rPr>
            </w:pPr>
            <w:r>
              <w:rPr>
                <w:rFonts w:ascii="Arial" w:cs="Arial" w:eastAsia="Arial" w:hAnsi="Arial"/>
                <w:sz w:val="18"/>
                <w:szCs w:val="18"/>
                <w:color w:val="auto"/>
              </w:rPr>
              <w:t>2003</w:t>
            </w:r>
          </w:p>
        </w:tc>
        <w:tc>
          <w:tcPr>
            <w:tcW w:w="680" w:type="dxa"/>
            <w:vAlign w:val="bottom"/>
          </w:tcPr>
          <w:p>
            <w:pPr>
              <w:jc w:val="right"/>
              <w:spacing w:after="0"/>
              <w:rPr>
                <w:sz w:val="20"/>
                <w:szCs w:val="20"/>
                <w:color w:val="auto"/>
              </w:rPr>
            </w:pPr>
            <w:r>
              <w:rPr>
                <w:rFonts w:ascii="Arial" w:cs="Arial" w:eastAsia="Arial" w:hAnsi="Arial"/>
                <w:sz w:val="18"/>
                <w:szCs w:val="18"/>
                <w:color w:val="auto"/>
              </w:rPr>
              <w:t>246,000</w:t>
            </w:r>
          </w:p>
        </w:tc>
        <w:tc>
          <w:tcPr>
            <w:tcW w:w="1540" w:type="dxa"/>
            <w:vAlign w:val="bottom"/>
            <w:gridSpan w:val="3"/>
          </w:tcPr>
          <w:p>
            <w:pPr>
              <w:jc w:val="right"/>
              <w:ind w:right="420"/>
              <w:spacing w:after="0"/>
              <w:rPr>
                <w:sz w:val="20"/>
                <w:szCs w:val="20"/>
                <w:color w:val="auto"/>
              </w:rPr>
            </w:pPr>
            <w:r>
              <w:rPr>
                <w:rFonts w:ascii="Arial" w:cs="Arial" w:eastAsia="Arial" w:hAnsi="Arial"/>
                <w:sz w:val="18"/>
                <w:szCs w:val="18"/>
                <w:color w:val="auto"/>
              </w:rPr>
              <w:t>165,000</w:t>
            </w:r>
          </w:p>
        </w:tc>
        <w:tc>
          <w:tcPr>
            <w:tcW w:w="1020" w:type="dxa"/>
            <w:vAlign w:val="bottom"/>
            <w:gridSpan w:val="2"/>
          </w:tcPr>
          <w:p>
            <w:pPr>
              <w:jc w:val="right"/>
              <w:ind w:right="265"/>
              <w:spacing w:after="0"/>
              <w:rPr>
                <w:sz w:val="20"/>
                <w:szCs w:val="20"/>
                <w:color w:val="auto"/>
              </w:rPr>
            </w:pPr>
            <w:r>
              <w:rPr>
                <w:rFonts w:ascii="Arial" w:cs="Arial" w:eastAsia="Arial" w:hAnsi="Arial"/>
                <w:sz w:val="15"/>
                <w:szCs w:val="15"/>
                <w:color w:val="auto"/>
              </w:rPr>
              <w:t>(4)</w:t>
            </w:r>
          </w:p>
        </w:tc>
        <w:tc>
          <w:tcPr>
            <w:tcW w:w="160" w:type="dxa"/>
            <w:vAlign w:val="bottom"/>
          </w:tcPr>
          <w:p>
            <w:pPr>
              <w:spacing w:after="0"/>
              <w:rPr>
                <w:sz w:val="18"/>
                <w:szCs w:val="18"/>
                <w:color w:val="auto"/>
              </w:rPr>
            </w:pPr>
          </w:p>
        </w:tc>
        <w:tc>
          <w:tcPr>
            <w:tcW w:w="1280" w:type="dxa"/>
            <w:vAlign w:val="bottom"/>
            <w:gridSpan w:val="2"/>
          </w:tcPr>
          <w:p>
            <w:pPr>
              <w:jc w:val="right"/>
              <w:ind w:right="485"/>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30,000</w:t>
            </w:r>
          </w:p>
        </w:tc>
        <w:tc>
          <w:tcPr>
            <w:tcW w:w="1280" w:type="dxa"/>
            <w:vAlign w:val="bottom"/>
            <w:gridSpan w:val="3"/>
          </w:tcPr>
          <w:p>
            <w:pPr>
              <w:jc w:val="right"/>
              <w:ind w:right="5"/>
              <w:spacing w:after="0"/>
              <w:rPr>
                <w:sz w:val="20"/>
                <w:szCs w:val="20"/>
                <w:color w:val="auto"/>
              </w:rPr>
            </w:pPr>
            <w:r>
              <w:rPr>
                <w:rFonts w:ascii="Arial" w:cs="Arial" w:eastAsia="Arial" w:hAnsi="Arial"/>
                <w:sz w:val="18"/>
                <w:szCs w:val="18"/>
                <w:color w:val="auto"/>
              </w:rPr>
              <w:t>16,979</w:t>
            </w: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42"/>
        </w:trPr>
        <w:tc>
          <w:tcPr>
            <w:tcW w:w="3200" w:type="dxa"/>
            <w:vAlign w:val="bottom"/>
          </w:tcPr>
          <w:p>
            <w:pPr>
              <w:ind w:left="200"/>
              <w:spacing w:after="0"/>
              <w:rPr>
                <w:sz w:val="20"/>
                <w:szCs w:val="20"/>
                <w:color w:val="auto"/>
              </w:rPr>
            </w:pPr>
            <w:r>
              <w:rPr>
                <w:rFonts w:ascii="Arial" w:cs="Arial" w:eastAsia="Arial" w:hAnsi="Arial"/>
                <w:sz w:val="18"/>
                <w:szCs w:val="18"/>
                <w:color w:val="auto"/>
              </w:rPr>
              <w:t>of Banking</w:t>
            </w:r>
          </w:p>
        </w:tc>
        <w:tc>
          <w:tcPr>
            <w:tcW w:w="1380" w:type="dxa"/>
            <w:vAlign w:val="bottom"/>
          </w:tcPr>
          <w:p>
            <w:pPr>
              <w:jc w:val="right"/>
              <w:ind w:right="332"/>
              <w:spacing w:after="0"/>
              <w:rPr>
                <w:sz w:val="20"/>
                <w:szCs w:val="20"/>
                <w:color w:val="auto"/>
              </w:rPr>
            </w:pPr>
            <w:r>
              <w:rPr>
                <w:rFonts w:ascii="Arial" w:cs="Arial" w:eastAsia="Arial" w:hAnsi="Arial"/>
                <w:sz w:val="18"/>
                <w:szCs w:val="18"/>
                <w:color w:val="auto"/>
              </w:rPr>
              <w:t>2002</w:t>
            </w:r>
          </w:p>
        </w:tc>
        <w:tc>
          <w:tcPr>
            <w:tcW w:w="680" w:type="dxa"/>
            <w:vAlign w:val="bottom"/>
          </w:tcPr>
          <w:p>
            <w:pPr>
              <w:jc w:val="right"/>
              <w:spacing w:after="0"/>
              <w:rPr>
                <w:sz w:val="20"/>
                <w:szCs w:val="20"/>
                <w:color w:val="auto"/>
              </w:rPr>
            </w:pPr>
            <w:r>
              <w:rPr>
                <w:rFonts w:ascii="Arial" w:cs="Arial" w:eastAsia="Arial" w:hAnsi="Arial"/>
                <w:sz w:val="18"/>
                <w:szCs w:val="18"/>
                <w:color w:val="auto"/>
              </w:rPr>
              <w:t>236,500</w:t>
            </w:r>
          </w:p>
        </w:tc>
        <w:tc>
          <w:tcPr>
            <w:tcW w:w="1540" w:type="dxa"/>
            <w:vAlign w:val="bottom"/>
            <w:gridSpan w:val="3"/>
          </w:tcPr>
          <w:p>
            <w:pPr>
              <w:jc w:val="right"/>
              <w:ind w:right="420"/>
              <w:spacing w:after="0"/>
              <w:rPr>
                <w:sz w:val="20"/>
                <w:szCs w:val="20"/>
                <w:color w:val="auto"/>
              </w:rPr>
            </w:pPr>
            <w:r>
              <w:rPr>
                <w:rFonts w:ascii="Arial" w:cs="Arial" w:eastAsia="Arial" w:hAnsi="Arial"/>
                <w:sz w:val="18"/>
                <w:szCs w:val="18"/>
                <w:color w:val="auto"/>
              </w:rPr>
              <w:t>140,000</w:t>
            </w:r>
          </w:p>
        </w:tc>
        <w:tc>
          <w:tcPr>
            <w:tcW w:w="1020" w:type="dxa"/>
            <w:vAlign w:val="bottom"/>
            <w:gridSpan w:val="2"/>
          </w:tcPr>
          <w:p>
            <w:pPr>
              <w:jc w:val="right"/>
              <w:ind w:right="265"/>
              <w:spacing w:after="0"/>
              <w:rPr>
                <w:sz w:val="20"/>
                <w:szCs w:val="20"/>
                <w:color w:val="auto"/>
              </w:rPr>
            </w:pPr>
            <w:r>
              <w:rPr>
                <w:rFonts w:ascii="Arial" w:cs="Arial" w:eastAsia="Arial" w:hAnsi="Arial"/>
                <w:sz w:val="15"/>
                <w:szCs w:val="15"/>
                <w:color w:val="auto"/>
              </w:rPr>
              <w:t>(4)</w:t>
            </w:r>
          </w:p>
        </w:tc>
        <w:tc>
          <w:tcPr>
            <w:tcW w:w="160" w:type="dxa"/>
            <w:vAlign w:val="bottom"/>
          </w:tcPr>
          <w:p>
            <w:pPr>
              <w:spacing w:after="0"/>
              <w:rPr>
                <w:sz w:val="21"/>
                <w:szCs w:val="21"/>
                <w:color w:val="auto"/>
              </w:rPr>
            </w:pPr>
          </w:p>
        </w:tc>
        <w:tc>
          <w:tcPr>
            <w:tcW w:w="1280" w:type="dxa"/>
            <w:vAlign w:val="bottom"/>
            <w:gridSpan w:val="2"/>
          </w:tcPr>
          <w:p>
            <w:pPr>
              <w:jc w:val="right"/>
              <w:ind w:right="485"/>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24,000</w:t>
            </w:r>
          </w:p>
        </w:tc>
        <w:tc>
          <w:tcPr>
            <w:tcW w:w="1280" w:type="dxa"/>
            <w:vAlign w:val="bottom"/>
            <w:gridSpan w:val="3"/>
          </w:tcPr>
          <w:p>
            <w:pPr>
              <w:jc w:val="right"/>
              <w:ind w:right="5"/>
              <w:spacing w:after="0"/>
              <w:rPr>
                <w:sz w:val="20"/>
                <w:szCs w:val="20"/>
                <w:color w:val="auto"/>
              </w:rPr>
            </w:pPr>
            <w:r>
              <w:rPr>
                <w:rFonts w:ascii="Arial" w:cs="Arial" w:eastAsia="Arial" w:hAnsi="Arial"/>
                <w:sz w:val="18"/>
                <w:szCs w:val="18"/>
                <w:color w:val="auto"/>
              </w:rPr>
              <w:t>16,306</w:t>
            </w: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394"/>
        </w:trPr>
        <w:tc>
          <w:tcPr>
            <w:tcW w:w="3200" w:type="dxa"/>
            <w:vAlign w:val="bottom"/>
          </w:tcPr>
          <w:p>
            <w:pPr>
              <w:spacing w:after="0"/>
              <w:rPr>
                <w:sz w:val="20"/>
                <w:szCs w:val="20"/>
                <w:color w:val="auto"/>
              </w:rPr>
            </w:pPr>
            <w:r>
              <w:rPr>
                <w:rFonts w:ascii="Arial" w:cs="Arial" w:eastAsia="Arial" w:hAnsi="Arial"/>
                <w:sz w:val="18"/>
                <w:szCs w:val="18"/>
                <w:color w:val="auto"/>
              </w:rPr>
              <w:t>Rex S. Schuette</w:t>
            </w:r>
          </w:p>
        </w:tc>
        <w:tc>
          <w:tcPr>
            <w:tcW w:w="1380" w:type="dxa"/>
            <w:vAlign w:val="bottom"/>
          </w:tcPr>
          <w:p>
            <w:pPr>
              <w:jc w:val="right"/>
              <w:ind w:right="332"/>
              <w:spacing w:after="0"/>
              <w:rPr>
                <w:sz w:val="20"/>
                <w:szCs w:val="20"/>
                <w:color w:val="auto"/>
              </w:rPr>
            </w:pPr>
            <w:r>
              <w:rPr>
                <w:rFonts w:ascii="Arial" w:cs="Arial" w:eastAsia="Arial" w:hAnsi="Arial"/>
                <w:sz w:val="18"/>
                <w:szCs w:val="18"/>
                <w:color w:val="auto"/>
              </w:rPr>
              <w:t>2004</w:t>
            </w:r>
          </w:p>
        </w:tc>
        <w:tc>
          <w:tcPr>
            <w:tcW w:w="680" w:type="dxa"/>
            <w:vAlign w:val="bottom"/>
          </w:tcPr>
          <w:p>
            <w:pPr>
              <w:jc w:val="right"/>
              <w:spacing w:after="0"/>
              <w:rPr>
                <w:sz w:val="20"/>
                <w:szCs w:val="20"/>
                <w:color w:val="auto"/>
              </w:rPr>
            </w:pPr>
            <w:r>
              <w:rPr>
                <w:rFonts w:ascii="Arial" w:cs="Arial" w:eastAsia="Arial" w:hAnsi="Arial"/>
                <w:sz w:val="18"/>
                <w:szCs w:val="18"/>
                <w:color w:val="auto"/>
              </w:rPr>
              <w:t>253,500</w:t>
            </w:r>
          </w:p>
        </w:tc>
        <w:tc>
          <w:tcPr>
            <w:tcW w:w="1540" w:type="dxa"/>
            <w:vAlign w:val="bottom"/>
            <w:gridSpan w:val="3"/>
          </w:tcPr>
          <w:p>
            <w:pPr>
              <w:jc w:val="right"/>
              <w:ind w:right="420"/>
              <w:spacing w:after="0"/>
              <w:rPr>
                <w:sz w:val="20"/>
                <w:szCs w:val="20"/>
                <w:color w:val="auto"/>
              </w:rPr>
            </w:pPr>
            <w:r>
              <w:rPr>
                <w:rFonts w:ascii="Arial" w:cs="Arial" w:eastAsia="Arial" w:hAnsi="Arial"/>
                <w:sz w:val="18"/>
                <w:szCs w:val="18"/>
                <w:color w:val="auto"/>
              </w:rPr>
              <w:t>150,000</w:t>
            </w:r>
          </w:p>
        </w:tc>
        <w:tc>
          <w:tcPr>
            <w:tcW w:w="1020" w:type="dxa"/>
            <w:vAlign w:val="bottom"/>
            <w:gridSpan w:val="2"/>
          </w:tcPr>
          <w:p>
            <w:pPr>
              <w:jc w:val="right"/>
              <w:ind w:right="265"/>
              <w:spacing w:after="0"/>
              <w:rPr>
                <w:sz w:val="20"/>
                <w:szCs w:val="20"/>
                <w:color w:val="auto"/>
              </w:rPr>
            </w:pPr>
            <w:r>
              <w:rPr>
                <w:rFonts w:ascii="Arial" w:cs="Arial" w:eastAsia="Arial" w:hAnsi="Arial"/>
                <w:sz w:val="15"/>
                <w:szCs w:val="15"/>
                <w:color w:val="auto"/>
              </w:rPr>
              <w:t>(4)</w:t>
            </w:r>
          </w:p>
        </w:tc>
        <w:tc>
          <w:tcPr>
            <w:tcW w:w="1440" w:type="dxa"/>
            <w:vAlign w:val="bottom"/>
            <w:gridSpan w:val="3"/>
          </w:tcPr>
          <w:p>
            <w:pPr>
              <w:jc w:val="right"/>
              <w:ind w:right="325"/>
              <w:spacing w:after="0"/>
              <w:rPr>
                <w:sz w:val="20"/>
                <w:szCs w:val="20"/>
                <w:color w:val="auto"/>
              </w:rPr>
            </w:pPr>
            <w:r>
              <w:rPr>
                <w:rFonts w:ascii="Arial" w:cs="Arial" w:eastAsia="Arial" w:hAnsi="Arial"/>
                <w:sz w:val="18"/>
                <w:szCs w:val="18"/>
                <w:color w:val="auto"/>
              </w:rPr>
              <w:t>49,220</w:t>
            </w:r>
            <w:r>
              <w:rPr>
                <w:rFonts w:ascii="Arial" w:cs="Arial" w:eastAsia="Arial" w:hAnsi="Arial"/>
                <w:sz w:val="15"/>
                <w:szCs w:val="15"/>
                <w:color w:val="auto"/>
              </w:rPr>
              <w:t>(7)</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9,000</w:t>
            </w:r>
          </w:p>
        </w:tc>
        <w:tc>
          <w:tcPr>
            <w:tcW w:w="1280" w:type="dxa"/>
            <w:vAlign w:val="bottom"/>
            <w:gridSpan w:val="3"/>
          </w:tcPr>
          <w:p>
            <w:pPr>
              <w:jc w:val="right"/>
              <w:ind w:right="5"/>
              <w:spacing w:after="0"/>
              <w:rPr>
                <w:sz w:val="20"/>
                <w:szCs w:val="20"/>
                <w:color w:val="auto"/>
              </w:rPr>
            </w:pPr>
            <w:r>
              <w:rPr>
                <w:rFonts w:ascii="Arial" w:cs="Arial" w:eastAsia="Arial" w:hAnsi="Arial"/>
                <w:sz w:val="18"/>
                <w:szCs w:val="18"/>
                <w:color w:val="auto"/>
              </w:rPr>
              <w:t>27,298</w:t>
            </w: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212"/>
        </w:trPr>
        <w:tc>
          <w:tcPr>
            <w:tcW w:w="3200" w:type="dxa"/>
            <w:vAlign w:val="bottom"/>
          </w:tcPr>
          <w:p>
            <w:pPr>
              <w:ind w:left="200"/>
              <w:spacing w:after="0"/>
              <w:rPr>
                <w:sz w:val="20"/>
                <w:szCs w:val="20"/>
                <w:color w:val="auto"/>
              </w:rPr>
            </w:pPr>
            <w:r>
              <w:rPr>
                <w:rFonts w:ascii="Arial" w:cs="Arial" w:eastAsia="Arial" w:hAnsi="Arial"/>
                <w:sz w:val="18"/>
                <w:szCs w:val="18"/>
                <w:color w:val="auto"/>
              </w:rPr>
              <w:t>Executive Vice President</w:t>
            </w:r>
          </w:p>
        </w:tc>
        <w:tc>
          <w:tcPr>
            <w:tcW w:w="1380" w:type="dxa"/>
            <w:vAlign w:val="bottom"/>
          </w:tcPr>
          <w:p>
            <w:pPr>
              <w:jc w:val="right"/>
              <w:ind w:right="332"/>
              <w:spacing w:after="0"/>
              <w:rPr>
                <w:sz w:val="20"/>
                <w:szCs w:val="20"/>
                <w:color w:val="auto"/>
              </w:rPr>
            </w:pPr>
            <w:r>
              <w:rPr>
                <w:rFonts w:ascii="Arial" w:cs="Arial" w:eastAsia="Arial" w:hAnsi="Arial"/>
                <w:sz w:val="18"/>
                <w:szCs w:val="18"/>
                <w:color w:val="auto"/>
              </w:rPr>
              <w:t>2003</w:t>
            </w:r>
          </w:p>
        </w:tc>
        <w:tc>
          <w:tcPr>
            <w:tcW w:w="680" w:type="dxa"/>
            <w:vAlign w:val="bottom"/>
          </w:tcPr>
          <w:p>
            <w:pPr>
              <w:jc w:val="right"/>
              <w:spacing w:after="0"/>
              <w:rPr>
                <w:sz w:val="20"/>
                <w:szCs w:val="20"/>
                <w:color w:val="auto"/>
              </w:rPr>
            </w:pPr>
            <w:r>
              <w:rPr>
                <w:rFonts w:ascii="Arial" w:cs="Arial" w:eastAsia="Arial" w:hAnsi="Arial"/>
                <w:sz w:val="18"/>
                <w:szCs w:val="18"/>
                <w:color w:val="auto"/>
              </w:rPr>
              <w:t>246,000</w:t>
            </w:r>
          </w:p>
        </w:tc>
        <w:tc>
          <w:tcPr>
            <w:tcW w:w="1540" w:type="dxa"/>
            <w:vAlign w:val="bottom"/>
            <w:gridSpan w:val="3"/>
          </w:tcPr>
          <w:p>
            <w:pPr>
              <w:jc w:val="right"/>
              <w:ind w:right="420"/>
              <w:spacing w:after="0"/>
              <w:rPr>
                <w:sz w:val="20"/>
                <w:szCs w:val="20"/>
                <w:color w:val="auto"/>
              </w:rPr>
            </w:pPr>
            <w:r>
              <w:rPr>
                <w:rFonts w:ascii="Arial" w:cs="Arial" w:eastAsia="Arial" w:hAnsi="Arial"/>
                <w:sz w:val="18"/>
                <w:szCs w:val="18"/>
                <w:color w:val="auto"/>
              </w:rPr>
              <w:t>127,500</w:t>
            </w:r>
          </w:p>
        </w:tc>
        <w:tc>
          <w:tcPr>
            <w:tcW w:w="1020" w:type="dxa"/>
            <w:vAlign w:val="bottom"/>
            <w:gridSpan w:val="2"/>
          </w:tcPr>
          <w:p>
            <w:pPr>
              <w:jc w:val="right"/>
              <w:ind w:right="265"/>
              <w:spacing w:after="0"/>
              <w:rPr>
                <w:sz w:val="20"/>
                <w:szCs w:val="20"/>
                <w:color w:val="auto"/>
              </w:rPr>
            </w:pPr>
            <w:r>
              <w:rPr>
                <w:rFonts w:ascii="Arial" w:cs="Arial" w:eastAsia="Arial" w:hAnsi="Arial"/>
                <w:sz w:val="15"/>
                <w:szCs w:val="15"/>
                <w:color w:val="auto"/>
              </w:rPr>
              <w:t>(4)</w:t>
            </w:r>
          </w:p>
        </w:tc>
        <w:tc>
          <w:tcPr>
            <w:tcW w:w="160" w:type="dxa"/>
            <w:vAlign w:val="bottom"/>
          </w:tcPr>
          <w:p>
            <w:pPr>
              <w:spacing w:after="0"/>
              <w:rPr>
                <w:sz w:val="18"/>
                <w:szCs w:val="18"/>
                <w:color w:val="auto"/>
              </w:rPr>
            </w:pPr>
          </w:p>
        </w:tc>
        <w:tc>
          <w:tcPr>
            <w:tcW w:w="1280" w:type="dxa"/>
            <w:vAlign w:val="bottom"/>
            <w:gridSpan w:val="2"/>
          </w:tcPr>
          <w:p>
            <w:pPr>
              <w:jc w:val="right"/>
              <w:ind w:right="485"/>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27,000</w:t>
            </w:r>
          </w:p>
        </w:tc>
        <w:tc>
          <w:tcPr>
            <w:tcW w:w="1280" w:type="dxa"/>
            <w:vAlign w:val="bottom"/>
            <w:gridSpan w:val="3"/>
          </w:tcPr>
          <w:p>
            <w:pPr>
              <w:jc w:val="right"/>
              <w:ind w:right="5"/>
              <w:spacing w:after="0"/>
              <w:rPr>
                <w:sz w:val="20"/>
                <w:szCs w:val="20"/>
                <w:color w:val="auto"/>
              </w:rPr>
            </w:pPr>
            <w:r>
              <w:rPr>
                <w:rFonts w:ascii="Arial" w:cs="Arial" w:eastAsia="Arial" w:hAnsi="Arial"/>
                <w:sz w:val="18"/>
                <w:szCs w:val="18"/>
                <w:color w:val="auto"/>
              </w:rPr>
              <w:t>16,979</w:t>
            </w: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242"/>
        </w:trPr>
        <w:tc>
          <w:tcPr>
            <w:tcW w:w="3200" w:type="dxa"/>
            <w:vAlign w:val="bottom"/>
          </w:tcPr>
          <w:p>
            <w:pPr>
              <w:ind w:left="200"/>
              <w:spacing w:after="0"/>
              <w:rPr>
                <w:sz w:val="20"/>
                <w:szCs w:val="20"/>
                <w:color w:val="auto"/>
              </w:rPr>
            </w:pPr>
            <w:r>
              <w:rPr>
                <w:rFonts w:ascii="Arial" w:cs="Arial" w:eastAsia="Arial" w:hAnsi="Arial"/>
                <w:sz w:val="18"/>
                <w:szCs w:val="18"/>
                <w:color w:val="auto"/>
              </w:rPr>
              <w:t>and Chief Financial Officer</w:t>
            </w:r>
          </w:p>
        </w:tc>
        <w:tc>
          <w:tcPr>
            <w:tcW w:w="1380" w:type="dxa"/>
            <w:vAlign w:val="bottom"/>
          </w:tcPr>
          <w:p>
            <w:pPr>
              <w:jc w:val="right"/>
              <w:ind w:right="332"/>
              <w:spacing w:after="0"/>
              <w:rPr>
                <w:sz w:val="20"/>
                <w:szCs w:val="20"/>
                <w:color w:val="auto"/>
              </w:rPr>
            </w:pPr>
            <w:r>
              <w:rPr>
                <w:rFonts w:ascii="Arial" w:cs="Arial" w:eastAsia="Arial" w:hAnsi="Arial"/>
                <w:sz w:val="18"/>
                <w:szCs w:val="18"/>
                <w:color w:val="auto"/>
              </w:rPr>
              <w:t>2002</w:t>
            </w:r>
          </w:p>
        </w:tc>
        <w:tc>
          <w:tcPr>
            <w:tcW w:w="680" w:type="dxa"/>
            <w:vAlign w:val="bottom"/>
          </w:tcPr>
          <w:p>
            <w:pPr>
              <w:jc w:val="right"/>
              <w:spacing w:after="0"/>
              <w:rPr>
                <w:sz w:val="20"/>
                <w:szCs w:val="20"/>
                <w:color w:val="auto"/>
              </w:rPr>
            </w:pPr>
            <w:r>
              <w:rPr>
                <w:rFonts w:ascii="Arial" w:cs="Arial" w:eastAsia="Arial" w:hAnsi="Arial"/>
                <w:sz w:val="18"/>
                <w:szCs w:val="18"/>
                <w:color w:val="auto"/>
              </w:rPr>
              <w:t>236,500</w:t>
            </w:r>
          </w:p>
        </w:tc>
        <w:tc>
          <w:tcPr>
            <w:tcW w:w="1540" w:type="dxa"/>
            <w:vAlign w:val="bottom"/>
            <w:gridSpan w:val="3"/>
          </w:tcPr>
          <w:p>
            <w:pPr>
              <w:jc w:val="right"/>
              <w:ind w:right="420"/>
              <w:spacing w:after="0"/>
              <w:rPr>
                <w:sz w:val="20"/>
                <w:szCs w:val="20"/>
                <w:color w:val="auto"/>
              </w:rPr>
            </w:pPr>
            <w:r>
              <w:rPr>
                <w:rFonts w:ascii="Arial" w:cs="Arial" w:eastAsia="Arial" w:hAnsi="Arial"/>
                <w:sz w:val="18"/>
                <w:szCs w:val="18"/>
                <w:color w:val="auto"/>
              </w:rPr>
              <w:t>115,000</w:t>
            </w:r>
          </w:p>
        </w:tc>
        <w:tc>
          <w:tcPr>
            <w:tcW w:w="1020" w:type="dxa"/>
            <w:vAlign w:val="bottom"/>
            <w:gridSpan w:val="2"/>
          </w:tcPr>
          <w:p>
            <w:pPr>
              <w:jc w:val="right"/>
              <w:ind w:right="265"/>
              <w:spacing w:after="0"/>
              <w:rPr>
                <w:sz w:val="20"/>
                <w:szCs w:val="20"/>
                <w:color w:val="auto"/>
              </w:rPr>
            </w:pPr>
            <w:r>
              <w:rPr>
                <w:rFonts w:ascii="Arial" w:cs="Arial" w:eastAsia="Arial" w:hAnsi="Arial"/>
                <w:sz w:val="15"/>
                <w:szCs w:val="15"/>
                <w:color w:val="auto"/>
              </w:rPr>
              <w:t>(4)</w:t>
            </w:r>
          </w:p>
        </w:tc>
        <w:tc>
          <w:tcPr>
            <w:tcW w:w="160" w:type="dxa"/>
            <w:vAlign w:val="bottom"/>
          </w:tcPr>
          <w:p>
            <w:pPr>
              <w:spacing w:after="0"/>
              <w:rPr>
                <w:sz w:val="21"/>
                <w:szCs w:val="21"/>
                <w:color w:val="auto"/>
              </w:rPr>
            </w:pPr>
          </w:p>
        </w:tc>
        <w:tc>
          <w:tcPr>
            <w:tcW w:w="1280" w:type="dxa"/>
            <w:vAlign w:val="bottom"/>
            <w:gridSpan w:val="2"/>
          </w:tcPr>
          <w:p>
            <w:pPr>
              <w:jc w:val="right"/>
              <w:ind w:right="485"/>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24,000</w:t>
            </w:r>
          </w:p>
        </w:tc>
        <w:tc>
          <w:tcPr>
            <w:tcW w:w="1280" w:type="dxa"/>
            <w:vAlign w:val="bottom"/>
            <w:gridSpan w:val="3"/>
          </w:tcPr>
          <w:p>
            <w:pPr>
              <w:jc w:val="right"/>
              <w:ind w:right="5"/>
              <w:spacing w:after="0"/>
              <w:rPr>
                <w:sz w:val="20"/>
                <w:szCs w:val="20"/>
                <w:color w:val="auto"/>
              </w:rPr>
            </w:pPr>
            <w:r>
              <w:rPr>
                <w:rFonts w:ascii="Arial" w:cs="Arial" w:eastAsia="Arial" w:hAnsi="Arial"/>
                <w:sz w:val="18"/>
                <w:szCs w:val="18"/>
                <w:color w:val="auto"/>
              </w:rPr>
              <w:t>101,696</w:t>
            </w: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394"/>
        </w:trPr>
        <w:tc>
          <w:tcPr>
            <w:tcW w:w="3200" w:type="dxa"/>
            <w:vAlign w:val="bottom"/>
          </w:tcPr>
          <w:p>
            <w:pPr>
              <w:spacing w:after="0"/>
              <w:rPr>
                <w:sz w:val="20"/>
                <w:szCs w:val="20"/>
                <w:color w:val="auto"/>
              </w:rPr>
            </w:pPr>
            <w:r>
              <w:rPr>
                <w:rFonts w:ascii="Arial" w:cs="Arial" w:eastAsia="Arial" w:hAnsi="Arial"/>
                <w:sz w:val="18"/>
                <w:szCs w:val="18"/>
                <w:color w:val="auto"/>
              </w:rPr>
              <w:t>Thomas C. Gilliland</w:t>
            </w:r>
          </w:p>
        </w:tc>
        <w:tc>
          <w:tcPr>
            <w:tcW w:w="1380" w:type="dxa"/>
            <w:vAlign w:val="bottom"/>
          </w:tcPr>
          <w:p>
            <w:pPr>
              <w:jc w:val="right"/>
              <w:ind w:right="332"/>
              <w:spacing w:after="0"/>
              <w:rPr>
                <w:sz w:val="20"/>
                <w:szCs w:val="20"/>
                <w:color w:val="auto"/>
              </w:rPr>
            </w:pPr>
            <w:r>
              <w:rPr>
                <w:rFonts w:ascii="Arial" w:cs="Arial" w:eastAsia="Arial" w:hAnsi="Arial"/>
                <w:sz w:val="18"/>
                <w:szCs w:val="18"/>
                <w:color w:val="auto"/>
              </w:rPr>
              <w:t>2004</w:t>
            </w:r>
          </w:p>
        </w:tc>
        <w:tc>
          <w:tcPr>
            <w:tcW w:w="680" w:type="dxa"/>
            <w:vAlign w:val="bottom"/>
          </w:tcPr>
          <w:p>
            <w:pPr>
              <w:jc w:val="right"/>
              <w:spacing w:after="0"/>
              <w:rPr>
                <w:sz w:val="20"/>
                <w:szCs w:val="20"/>
                <w:color w:val="auto"/>
              </w:rPr>
            </w:pPr>
            <w:r>
              <w:rPr>
                <w:rFonts w:ascii="Arial" w:cs="Arial" w:eastAsia="Arial" w:hAnsi="Arial"/>
                <w:sz w:val="18"/>
                <w:szCs w:val="18"/>
                <w:color w:val="auto"/>
              </w:rPr>
              <w:t>236,000</w:t>
            </w:r>
          </w:p>
        </w:tc>
        <w:tc>
          <w:tcPr>
            <w:tcW w:w="1540" w:type="dxa"/>
            <w:vAlign w:val="bottom"/>
            <w:gridSpan w:val="3"/>
          </w:tcPr>
          <w:p>
            <w:pPr>
              <w:jc w:val="right"/>
              <w:ind w:right="420"/>
              <w:spacing w:after="0"/>
              <w:rPr>
                <w:sz w:val="20"/>
                <w:szCs w:val="20"/>
                <w:color w:val="auto"/>
              </w:rPr>
            </w:pPr>
            <w:r>
              <w:rPr>
                <w:rFonts w:ascii="Arial" w:cs="Arial" w:eastAsia="Arial" w:hAnsi="Arial"/>
                <w:sz w:val="18"/>
                <w:szCs w:val="18"/>
                <w:color w:val="auto"/>
              </w:rPr>
              <w:t>125,000</w:t>
            </w:r>
          </w:p>
        </w:tc>
        <w:tc>
          <w:tcPr>
            <w:tcW w:w="1020" w:type="dxa"/>
            <w:vAlign w:val="bottom"/>
            <w:gridSpan w:val="2"/>
          </w:tcPr>
          <w:p>
            <w:pPr>
              <w:jc w:val="right"/>
              <w:ind w:right="265"/>
              <w:spacing w:after="0"/>
              <w:rPr>
                <w:sz w:val="20"/>
                <w:szCs w:val="20"/>
                <w:color w:val="auto"/>
              </w:rPr>
            </w:pPr>
            <w:r>
              <w:rPr>
                <w:rFonts w:ascii="Arial" w:cs="Arial" w:eastAsia="Arial" w:hAnsi="Arial"/>
                <w:sz w:val="15"/>
                <w:szCs w:val="15"/>
                <w:color w:val="auto"/>
              </w:rPr>
              <w:t>(4)</w:t>
            </w:r>
          </w:p>
        </w:tc>
        <w:tc>
          <w:tcPr>
            <w:tcW w:w="1440" w:type="dxa"/>
            <w:vAlign w:val="bottom"/>
            <w:gridSpan w:val="3"/>
          </w:tcPr>
          <w:p>
            <w:pPr>
              <w:jc w:val="right"/>
              <w:ind w:right="325"/>
              <w:spacing w:after="0"/>
              <w:rPr>
                <w:sz w:val="20"/>
                <w:szCs w:val="20"/>
                <w:color w:val="auto"/>
              </w:rPr>
            </w:pPr>
            <w:r>
              <w:rPr>
                <w:rFonts w:ascii="Arial" w:cs="Arial" w:eastAsia="Arial" w:hAnsi="Arial"/>
                <w:sz w:val="18"/>
                <w:szCs w:val="18"/>
                <w:color w:val="auto"/>
              </w:rPr>
              <w:t>46,759</w:t>
            </w:r>
            <w:r>
              <w:rPr>
                <w:rFonts w:ascii="Arial" w:cs="Arial" w:eastAsia="Arial" w:hAnsi="Arial"/>
                <w:sz w:val="15"/>
                <w:szCs w:val="15"/>
                <w:color w:val="auto"/>
              </w:rPr>
              <w:t>(9)</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8,500</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25,173</w:t>
            </w: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212"/>
        </w:trPr>
        <w:tc>
          <w:tcPr>
            <w:tcW w:w="3200" w:type="dxa"/>
            <w:vAlign w:val="bottom"/>
          </w:tcPr>
          <w:p>
            <w:pPr>
              <w:ind w:left="200"/>
              <w:spacing w:after="0"/>
              <w:rPr>
                <w:sz w:val="20"/>
                <w:szCs w:val="20"/>
                <w:color w:val="auto"/>
              </w:rPr>
            </w:pPr>
            <w:r>
              <w:rPr>
                <w:rFonts w:ascii="Arial" w:cs="Arial" w:eastAsia="Arial" w:hAnsi="Arial"/>
                <w:sz w:val="18"/>
                <w:szCs w:val="18"/>
                <w:color w:val="auto"/>
              </w:rPr>
              <w:t>Executive Vice President</w:t>
            </w:r>
          </w:p>
        </w:tc>
        <w:tc>
          <w:tcPr>
            <w:tcW w:w="1380" w:type="dxa"/>
            <w:vAlign w:val="bottom"/>
          </w:tcPr>
          <w:p>
            <w:pPr>
              <w:jc w:val="right"/>
              <w:ind w:right="332"/>
              <w:spacing w:after="0"/>
              <w:rPr>
                <w:sz w:val="20"/>
                <w:szCs w:val="20"/>
                <w:color w:val="auto"/>
              </w:rPr>
            </w:pPr>
            <w:r>
              <w:rPr>
                <w:rFonts w:ascii="Arial" w:cs="Arial" w:eastAsia="Arial" w:hAnsi="Arial"/>
                <w:sz w:val="18"/>
                <w:szCs w:val="18"/>
                <w:color w:val="auto"/>
              </w:rPr>
              <w:t>2003</w:t>
            </w:r>
          </w:p>
        </w:tc>
        <w:tc>
          <w:tcPr>
            <w:tcW w:w="680" w:type="dxa"/>
            <w:vAlign w:val="bottom"/>
          </w:tcPr>
          <w:p>
            <w:pPr>
              <w:jc w:val="right"/>
              <w:spacing w:after="0"/>
              <w:rPr>
                <w:sz w:val="20"/>
                <w:szCs w:val="20"/>
                <w:color w:val="auto"/>
              </w:rPr>
            </w:pPr>
            <w:r>
              <w:rPr>
                <w:rFonts w:ascii="Arial" w:cs="Arial" w:eastAsia="Arial" w:hAnsi="Arial"/>
                <w:sz w:val="18"/>
                <w:szCs w:val="18"/>
                <w:color w:val="auto"/>
              </w:rPr>
              <w:t>229,000</w:t>
            </w:r>
          </w:p>
        </w:tc>
        <w:tc>
          <w:tcPr>
            <w:tcW w:w="1540" w:type="dxa"/>
            <w:vAlign w:val="bottom"/>
            <w:gridSpan w:val="3"/>
          </w:tcPr>
          <w:p>
            <w:pPr>
              <w:jc w:val="right"/>
              <w:ind w:right="420"/>
              <w:spacing w:after="0"/>
              <w:rPr>
                <w:sz w:val="20"/>
                <w:szCs w:val="20"/>
                <w:color w:val="auto"/>
              </w:rPr>
            </w:pPr>
            <w:r>
              <w:rPr>
                <w:rFonts w:ascii="Arial" w:cs="Arial" w:eastAsia="Arial" w:hAnsi="Arial"/>
                <w:sz w:val="18"/>
                <w:szCs w:val="18"/>
                <w:color w:val="auto"/>
              </w:rPr>
              <w:t>112,000</w:t>
            </w:r>
          </w:p>
        </w:tc>
        <w:tc>
          <w:tcPr>
            <w:tcW w:w="1020" w:type="dxa"/>
            <w:vAlign w:val="bottom"/>
            <w:gridSpan w:val="2"/>
          </w:tcPr>
          <w:p>
            <w:pPr>
              <w:jc w:val="right"/>
              <w:ind w:right="265"/>
              <w:spacing w:after="0"/>
              <w:rPr>
                <w:sz w:val="20"/>
                <w:szCs w:val="20"/>
                <w:color w:val="auto"/>
              </w:rPr>
            </w:pPr>
            <w:r>
              <w:rPr>
                <w:rFonts w:ascii="Arial" w:cs="Arial" w:eastAsia="Arial" w:hAnsi="Arial"/>
                <w:sz w:val="15"/>
                <w:szCs w:val="15"/>
                <w:color w:val="auto"/>
              </w:rPr>
              <w:t>(4)</w:t>
            </w:r>
          </w:p>
        </w:tc>
        <w:tc>
          <w:tcPr>
            <w:tcW w:w="160" w:type="dxa"/>
            <w:vAlign w:val="bottom"/>
          </w:tcPr>
          <w:p>
            <w:pPr>
              <w:spacing w:after="0"/>
              <w:rPr>
                <w:sz w:val="18"/>
                <w:szCs w:val="18"/>
                <w:color w:val="auto"/>
              </w:rPr>
            </w:pPr>
          </w:p>
        </w:tc>
        <w:tc>
          <w:tcPr>
            <w:tcW w:w="1280" w:type="dxa"/>
            <w:vAlign w:val="bottom"/>
            <w:gridSpan w:val="2"/>
          </w:tcPr>
          <w:p>
            <w:pPr>
              <w:jc w:val="right"/>
              <w:ind w:right="485"/>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25,500</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18,153</w:t>
            </w: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242"/>
        </w:trPr>
        <w:tc>
          <w:tcPr>
            <w:tcW w:w="3200" w:type="dxa"/>
            <w:vAlign w:val="bottom"/>
          </w:tcPr>
          <w:p>
            <w:pPr>
              <w:ind w:left="200"/>
              <w:spacing w:after="0"/>
              <w:rPr>
                <w:sz w:val="20"/>
                <w:szCs w:val="20"/>
                <w:color w:val="auto"/>
              </w:rPr>
            </w:pPr>
            <w:r>
              <w:rPr>
                <w:rFonts w:ascii="Arial" w:cs="Arial" w:eastAsia="Arial" w:hAnsi="Arial"/>
                <w:sz w:val="18"/>
                <w:szCs w:val="18"/>
                <w:color w:val="auto"/>
              </w:rPr>
              <w:t>and General Counsel</w:t>
            </w:r>
          </w:p>
        </w:tc>
        <w:tc>
          <w:tcPr>
            <w:tcW w:w="1380" w:type="dxa"/>
            <w:vAlign w:val="bottom"/>
          </w:tcPr>
          <w:p>
            <w:pPr>
              <w:jc w:val="right"/>
              <w:ind w:right="332"/>
              <w:spacing w:after="0"/>
              <w:rPr>
                <w:sz w:val="20"/>
                <w:szCs w:val="20"/>
                <w:color w:val="auto"/>
              </w:rPr>
            </w:pPr>
            <w:r>
              <w:rPr>
                <w:rFonts w:ascii="Arial" w:cs="Arial" w:eastAsia="Arial" w:hAnsi="Arial"/>
                <w:sz w:val="18"/>
                <w:szCs w:val="18"/>
                <w:color w:val="auto"/>
              </w:rPr>
              <w:t>2002</w:t>
            </w:r>
          </w:p>
        </w:tc>
        <w:tc>
          <w:tcPr>
            <w:tcW w:w="680" w:type="dxa"/>
            <w:vAlign w:val="bottom"/>
          </w:tcPr>
          <w:p>
            <w:pPr>
              <w:jc w:val="right"/>
              <w:spacing w:after="0"/>
              <w:rPr>
                <w:sz w:val="20"/>
                <w:szCs w:val="20"/>
                <w:color w:val="auto"/>
              </w:rPr>
            </w:pPr>
            <w:r>
              <w:rPr>
                <w:rFonts w:ascii="Arial" w:cs="Arial" w:eastAsia="Arial" w:hAnsi="Arial"/>
                <w:sz w:val="18"/>
                <w:szCs w:val="18"/>
                <w:color w:val="auto"/>
              </w:rPr>
              <w:t>220,000</w:t>
            </w:r>
          </w:p>
        </w:tc>
        <w:tc>
          <w:tcPr>
            <w:tcW w:w="1540" w:type="dxa"/>
            <w:vAlign w:val="bottom"/>
            <w:gridSpan w:val="3"/>
          </w:tcPr>
          <w:p>
            <w:pPr>
              <w:jc w:val="right"/>
              <w:ind w:right="420"/>
              <w:spacing w:after="0"/>
              <w:rPr>
                <w:sz w:val="20"/>
                <w:szCs w:val="20"/>
                <w:color w:val="auto"/>
              </w:rPr>
            </w:pPr>
            <w:r>
              <w:rPr>
                <w:rFonts w:ascii="Arial" w:cs="Arial" w:eastAsia="Arial" w:hAnsi="Arial"/>
                <w:sz w:val="18"/>
                <w:szCs w:val="18"/>
                <w:color w:val="auto"/>
              </w:rPr>
              <w:t>100,000</w:t>
            </w:r>
          </w:p>
        </w:tc>
        <w:tc>
          <w:tcPr>
            <w:tcW w:w="1020" w:type="dxa"/>
            <w:vAlign w:val="bottom"/>
            <w:gridSpan w:val="2"/>
          </w:tcPr>
          <w:p>
            <w:pPr>
              <w:jc w:val="right"/>
              <w:ind w:right="265"/>
              <w:spacing w:after="0"/>
              <w:rPr>
                <w:sz w:val="20"/>
                <w:szCs w:val="20"/>
                <w:color w:val="auto"/>
              </w:rPr>
            </w:pPr>
            <w:r>
              <w:rPr>
                <w:rFonts w:ascii="Arial" w:cs="Arial" w:eastAsia="Arial" w:hAnsi="Arial"/>
                <w:sz w:val="15"/>
                <w:szCs w:val="15"/>
                <w:color w:val="auto"/>
              </w:rPr>
              <w:t>(4)</w:t>
            </w:r>
          </w:p>
        </w:tc>
        <w:tc>
          <w:tcPr>
            <w:tcW w:w="160" w:type="dxa"/>
            <w:vAlign w:val="bottom"/>
          </w:tcPr>
          <w:p>
            <w:pPr>
              <w:spacing w:after="0"/>
              <w:rPr>
                <w:sz w:val="21"/>
                <w:szCs w:val="21"/>
                <w:color w:val="auto"/>
              </w:rPr>
            </w:pPr>
          </w:p>
        </w:tc>
        <w:tc>
          <w:tcPr>
            <w:tcW w:w="1280" w:type="dxa"/>
            <w:vAlign w:val="bottom"/>
            <w:gridSpan w:val="2"/>
          </w:tcPr>
          <w:p>
            <w:pPr>
              <w:jc w:val="right"/>
              <w:ind w:right="485"/>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24,000</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17,417</w:t>
            </w: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394"/>
        </w:trPr>
        <w:tc>
          <w:tcPr>
            <w:tcW w:w="3200" w:type="dxa"/>
            <w:vAlign w:val="bottom"/>
          </w:tcPr>
          <w:p>
            <w:pPr>
              <w:spacing w:after="0"/>
              <w:rPr>
                <w:sz w:val="20"/>
                <w:szCs w:val="20"/>
                <w:color w:val="auto"/>
              </w:rPr>
            </w:pPr>
            <w:r>
              <w:rPr>
                <w:rFonts w:ascii="Arial" w:cs="Arial" w:eastAsia="Arial" w:hAnsi="Arial"/>
                <w:sz w:val="18"/>
                <w:szCs w:val="18"/>
                <w:color w:val="auto"/>
              </w:rPr>
              <w:t>Ray K. Williams</w:t>
            </w:r>
            <w:r>
              <w:rPr>
                <w:rFonts w:ascii="Arial" w:cs="Arial" w:eastAsia="Arial" w:hAnsi="Arial"/>
                <w:sz w:val="15"/>
                <w:szCs w:val="15"/>
                <w:color w:val="auto"/>
              </w:rPr>
              <w:t>(11)</w:t>
            </w:r>
          </w:p>
        </w:tc>
        <w:tc>
          <w:tcPr>
            <w:tcW w:w="1380" w:type="dxa"/>
            <w:vAlign w:val="bottom"/>
          </w:tcPr>
          <w:p>
            <w:pPr>
              <w:jc w:val="right"/>
              <w:ind w:right="332"/>
              <w:spacing w:after="0"/>
              <w:rPr>
                <w:sz w:val="20"/>
                <w:szCs w:val="20"/>
                <w:color w:val="auto"/>
              </w:rPr>
            </w:pPr>
            <w:r>
              <w:rPr>
                <w:rFonts w:ascii="Arial" w:cs="Arial" w:eastAsia="Arial" w:hAnsi="Arial"/>
                <w:sz w:val="18"/>
                <w:szCs w:val="18"/>
                <w:color w:val="auto"/>
              </w:rPr>
              <w:t>2004</w:t>
            </w:r>
          </w:p>
        </w:tc>
        <w:tc>
          <w:tcPr>
            <w:tcW w:w="680" w:type="dxa"/>
            <w:vAlign w:val="bottom"/>
          </w:tcPr>
          <w:p>
            <w:pPr>
              <w:jc w:val="right"/>
              <w:spacing w:after="0"/>
              <w:rPr>
                <w:sz w:val="20"/>
                <w:szCs w:val="20"/>
                <w:color w:val="auto"/>
              </w:rPr>
            </w:pPr>
            <w:r>
              <w:rPr>
                <w:rFonts w:ascii="Arial" w:cs="Arial" w:eastAsia="Arial" w:hAnsi="Arial"/>
                <w:sz w:val="18"/>
                <w:szCs w:val="18"/>
                <w:color w:val="auto"/>
              </w:rPr>
              <w:t>187,500</w:t>
            </w:r>
          </w:p>
        </w:tc>
        <w:tc>
          <w:tcPr>
            <w:tcW w:w="1540" w:type="dxa"/>
            <w:vAlign w:val="bottom"/>
            <w:gridSpan w:val="3"/>
          </w:tcPr>
          <w:p>
            <w:pPr>
              <w:jc w:val="right"/>
              <w:ind w:right="420"/>
              <w:spacing w:after="0"/>
              <w:rPr>
                <w:sz w:val="20"/>
                <w:szCs w:val="20"/>
                <w:color w:val="auto"/>
              </w:rPr>
            </w:pPr>
            <w:r>
              <w:rPr>
                <w:rFonts w:ascii="Arial" w:cs="Arial" w:eastAsia="Arial" w:hAnsi="Arial"/>
                <w:sz w:val="18"/>
                <w:szCs w:val="18"/>
                <w:color w:val="auto"/>
              </w:rPr>
              <w:t>70,000</w:t>
            </w:r>
          </w:p>
        </w:tc>
        <w:tc>
          <w:tcPr>
            <w:tcW w:w="1020" w:type="dxa"/>
            <w:vAlign w:val="bottom"/>
            <w:gridSpan w:val="2"/>
          </w:tcPr>
          <w:p>
            <w:pPr>
              <w:jc w:val="right"/>
              <w:ind w:right="265"/>
              <w:spacing w:after="0"/>
              <w:rPr>
                <w:sz w:val="20"/>
                <w:szCs w:val="20"/>
                <w:color w:val="auto"/>
              </w:rPr>
            </w:pPr>
            <w:r>
              <w:rPr>
                <w:rFonts w:ascii="Arial" w:cs="Arial" w:eastAsia="Arial" w:hAnsi="Arial"/>
                <w:sz w:val="15"/>
                <w:szCs w:val="15"/>
                <w:color w:val="auto"/>
              </w:rPr>
              <w:t>(4)</w:t>
            </w:r>
          </w:p>
        </w:tc>
        <w:tc>
          <w:tcPr>
            <w:tcW w:w="1440" w:type="dxa"/>
            <w:vAlign w:val="bottom"/>
            <w:gridSpan w:val="3"/>
          </w:tcPr>
          <w:p>
            <w:pPr>
              <w:jc w:val="right"/>
              <w:ind w:right="245"/>
              <w:spacing w:after="0"/>
              <w:rPr>
                <w:sz w:val="20"/>
                <w:szCs w:val="20"/>
                <w:color w:val="auto"/>
              </w:rPr>
            </w:pPr>
            <w:r>
              <w:rPr>
                <w:rFonts w:ascii="Arial" w:cs="Arial" w:eastAsia="Arial" w:hAnsi="Arial"/>
                <w:sz w:val="18"/>
                <w:szCs w:val="18"/>
                <w:color w:val="auto"/>
              </w:rPr>
              <w:t>27,071</w:t>
            </w:r>
            <w:r>
              <w:rPr>
                <w:rFonts w:ascii="Arial" w:cs="Arial" w:eastAsia="Arial" w:hAnsi="Arial"/>
                <w:sz w:val="15"/>
                <w:szCs w:val="15"/>
                <w:color w:val="auto"/>
              </w:rPr>
              <w:t>(12)</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5,000</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19,354</w:t>
            </w: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212"/>
        </w:trPr>
        <w:tc>
          <w:tcPr>
            <w:tcW w:w="3200" w:type="dxa"/>
            <w:vAlign w:val="bottom"/>
          </w:tcPr>
          <w:p>
            <w:pPr>
              <w:ind w:left="200"/>
              <w:spacing w:after="0"/>
              <w:rPr>
                <w:sz w:val="20"/>
                <w:szCs w:val="20"/>
                <w:color w:val="auto"/>
              </w:rPr>
            </w:pPr>
            <w:r>
              <w:rPr>
                <w:rFonts w:ascii="Arial" w:cs="Arial" w:eastAsia="Arial" w:hAnsi="Arial"/>
                <w:sz w:val="18"/>
                <w:szCs w:val="18"/>
                <w:color w:val="auto"/>
              </w:rPr>
              <w:t>Executive Vice President</w:t>
            </w:r>
          </w:p>
        </w:tc>
        <w:tc>
          <w:tcPr>
            <w:tcW w:w="1380" w:type="dxa"/>
            <w:vAlign w:val="bottom"/>
          </w:tcPr>
          <w:p>
            <w:pPr>
              <w:jc w:val="right"/>
              <w:ind w:right="332"/>
              <w:spacing w:after="0"/>
              <w:rPr>
                <w:sz w:val="20"/>
                <w:szCs w:val="20"/>
                <w:color w:val="auto"/>
              </w:rPr>
            </w:pPr>
            <w:r>
              <w:rPr>
                <w:rFonts w:ascii="Arial" w:cs="Arial" w:eastAsia="Arial" w:hAnsi="Arial"/>
                <w:sz w:val="18"/>
                <w:szCs w:val="18"/>
                <w:color w:val="auto"/>
              </w:rPr>
              <w:t>2003</w:t>
            </w:r>
          </w:p>
        </w:tc>
        <w:tc>
          <w:tcPr>
            <w:tcW w:w="680" w:type="dxa"/>
            <w:vAlign w:val="bottom"/>
          </w:tcPr>
          <w:p>
            <w:pPr>
              <w:jc w:val="right"/>
              <w:spacing w:after="0"/>
              <w:rPr>
                <w:sz w:val="20"/>
                <w:szCs w:val="20"/>
                <w:color w:val="auto"/>
              </w:rPr>
            </w:pPr>
            <w:r>
              <w:rPr>
                <w:rFonts w:ascii="Arial" w:cs="Arial" w:eastAsia="Arial" w:hAnsi="Arial"/>
                <w:sz w:val="18"/>
                <w:szCs w:val="18"/>
                <w:color w:val="auto"/>
              </w:rPr>
              <w:t>180,250</w:t>
            </w:r>
          </w:p>
        </w:tc>
        <w:tc>
          <w:tcPr>
            <w:tcW w:w="1540" w:type="dxa"/>
            <w:vAlign w:val="bottom"/>
            <w:gridSpan w:val="3"/>
          </w:tcPr>
          <w:p>
            <w:pPr>
              <w:jc w:val="right"/>
              <w:ind w:right="420"/>
              <w:spacing w:after="0"/>
              <w:rPr>
                <w:sz w:val="20"/>
                <w:szCs w:val="20"/>
                <w:color w:val="auto"/>
              </w:rPr>
            </w:pPr>
            <w:r>
              <w:rPr>
                <w:rFonts w:ascii="Arial" w:cs="Arial" w:eastAsia="Arial" w:hAnsi="Arial"/>
                <w:sz w:val="18"/>
                <w:szCs w:val="18"/>
                <w:color w:val="auto"/>
              </w:rPr>
              <w:t>60,000</w:t>
            </w:r>
          </w:p>
        </w:tc>
        <w:tc>
          <w:tcPr>
            <w:tcW w:w="1020" w:type="dxa"/>
            <w:vAlign w:val="bottom"/>
            <w:gridSpan w:val="2"/>
          </w:tcPr>
          <w:p>
            <w:pPr>
              <w:jc w:val="right"/>
              <w:ind w:right="265"/>
              <w:spacing w:after="0"/>
              <w:rPr>
                <w:sz w:val="20"/>
                <w:szCs w:val="20"/>
                <w:color w:val="auto"/>
              </w:rPr>
            </w:pPr>
            <w:r>
              <w:rPr>
                <w:rFonts w:ascii="Arial" w:cs="Arial" w:eastAsia="Arial" w:hAnsi="Arial"/>
                <w:sz w:val="15"/>
                <w:szCs w:val="15"/>
                <w:color w:val="auto"/>
              </w:rPr>
              <w:t>(4)</w:t>
            </w:r>
          </w:p>
        </w:tc>
        <w:tc>
          <w:tcPr>
            <w:tcW w:w="160" w:type="dxa"/>
            <w:vAlign w:val="bottom"/>
          </w:tcPr>
          <w:p>
            <w:pPr>
              <w:spacing w:after="0"/>
              <w:rPr>
                <w:sz w:val="18"/>
                <w:szCs w:val="18"/>
                <w:color w:val="auto"/>
              </w:rPr>
            </w:pPr>
          </w:p>
        </w:tc>
        <w:tc>
          <w:tcPr>
            <w:tcW w:w="1280" w:type="dxa"/>
            <w:vAlign w:val="bottom"/>
            <w:gridSpan w:val="2"/>
          </w:tcPr>
          <w:p>
            <w:pPr>
              <w:jc w:val="right"/>
              <w:ind w:right="485"/>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15,000</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11,608</w:t>
            </w: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242"/>
        </w:trPr>
        <w:tc>
          <w:tcPr>
            <w:tcW w:w="3200" w:type="dxa"/>
            <w:vAlign w:val="bottom"/>
          </w:tcPr>
          <w:p>
            <w:pPr>
              <w:ind w:left="200"/>
              <w:spacing w:after="0"/>
              <w:rPr>
                <w:sz w:val="20"/>
                <w:szCs w:val="20"/>
                <w:color w:val="auto"/>
              </w:rPr>
            </w:pPr>
            <w:r>
              <w:rPr>
                <w:rFonts w:ascii="Arial" w:cs="Arial" w:eastAsia="Arial" w:hAnsi="Arial"/>
                <w:sz w:val="18"/>
                <w:szCs w:val="18"/>
                <w:color w:val="auto"/>
              </w:rPr>
              <w:t>of Risk Management</w:t>
            </w:r>
          </w:p>
        </w:tc>
        <w:tc>
          <w:tcPr>
            <w:tcW w:w="1380" w:type="dxa"/>
            <w:vAlign w:val="bottom"/>
          </w:tcPr>
          <w:p>
            <w:pPr>
              <w:jc w:val="right"/>
              <w:ind w:right="332"/>
              <w:spacing w:after="0"/>
              <w:rPr>
                <w:sz w:val="20"/>
                <w:szCs w:val="20"/>
                <w:color w:val="auto"/>
              </w:rPr>
            </w:pPr>
            <w:r>
              <w:rPr>
                <w:rFonts w:ascii="Arial" w:cs="Arial" w:eastAsia="Arial" w:hAnsi="Arial"/>
                <w:sz w:val="18"/>
                <w:szCs w:val="18"/>
                <w:color w:val="auto"/>
              </w:rPr>
              <w:t>2002</w:t>
            </w:r>
          </w:p>
        </w:tc>
        <w:tc>
          <w:tcPr>
            <w:tcW w:w="680" w:type="dxa"/>
            <w:vAlign w:val="bottom"/>
          </w:tcPr>
          <w:p>
            <w:pPr>
              <w:jc w:val="right"/>
              <w:spacing w:after="0"/>
              <w:rPr>
                <w:sz w:val="20"/>
                <w:szCs w:val="20"/>
                <w:color w:val="auto"/>
              </w:rPr>
            </w:pPr>
            <w:r>
              <w:rPr>
                <w:rFonts w:ascii="Arial" w:cs="Arial" w:eastAsia="Arial" w:hAnsi="Arial"/>
                <w:sz w:val="18"/>
                <w:szCs w:val="18"/>
                <w:color w:val="auto"/>
              </w:rPr>
              <w:t>140,750</w:t>
            </w:r>
          </w:p>
        </w:tc>
        <w:tc>
          <w:tcPr>
            <w:tcW w:w="1540" w:type="dxa"/>
            <w:vAlign w:val="bottom"/>
            <w:gridSpan w:val="3"/>
          </w:tcPr>
          <w:p>
            <w:pPr>
              <w:jc w:val="right"/>
              <w:ind w:right="420"/>
              <w:spacing w:after="0"/>
              <w:rPr>
                <w:sz w:val="20"/>
                <w:szCs w:val="20"/>
                <w:color w:val="auto"/>
              </w:rPr>
            </w:pPr>
            <w:r>
              <w:rPr>
                <w:rFonts w:ascii="Arial" w:cs="Arial" w:eastAsia="Arial" w:hAnsi="Arial"/>
                <w:sz w:val="18"/>
                <w:szCs w:val="18"/>
                <w:color w:val="auto"/>
              </w:rPr>
              <w:t>25,000</w:t>
            </w:r>
          </w:p>
        </w:tc>
        <w:tc>
          <w:tcPr>
            <w:tcW w:w="1020" w:type="dxa"/>
            <w:vAlign w:val="bottom"/>
            <w:gridSpan w:val="2"/>
          </w:tcPr>
          <w:p>
            <w:pPr>
              <w:jc w:val="right"/>
              <w:ind w:right="265"/>
              <w:spacing w:after="0"/>
              <w:rPr>
                <w:sz w:val="20"/>
                <w:szCs w:val="20"/>
                <w:color w:val="auto"/>
              </w:rPr>
            </w:pPr>
            <w:r>
              <w:rPr>
                <w:rFonts w:ascii="Arial" w:cs="Arial" w:eastAsia="Arial" w:hAnsi="Arial"/>
                <w:sz w:val="15"/>
                <w:szCs w:val="15"/>
                <w:color w:val="auto"/>
              </w:rPr>
              <w:t>(4)</w:t>
            </w:r>
          </w:p>
        </w:tc>
        <w:tc>
          <w:tcPr>
            <w:tcW w:w="160" w:type="dxa"/>
            <w:vAlign w:val="bottom"/>
          </w:tcPr>
          <w:p>
            <w:pPr>
              <w:spacing w:after="0"/>
              <w:rPr>
                <w:sz w:val="21"/>
                <w:szCs w:val="21"/>
                <w:color w:val="auto"/>
              </w:rPr>
            </w:pPr>
          </w:p>
        </w:tc>
        <w:tc>
          <w:tcPr>
            <w:tcW w:w="1280" w:type="dxa"/>
            <w:vAlign w:val="bottom"/>
            <w:gridSpan w:val="2"/>
          </w:tcPr>
          <w:p>
            <w:pPr>
              <w:jc w:val="right"/>
              <w:ind w:right="485"/>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15,000</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624</w:t>
            </w:r>
            <w:r>
              <w:rPr>
                <w:rFonts w:ascii="Arial" w:cs="Arial" w:eastAsia="Arial" w:hAnsi="Arial"/>
                <w:sz w:val="15"/>
                <w:szCs w:val="15"/>
                <w:color w:val="auto"/>
              </w:rPr>
              <w:t>(13)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123825</wp:posOffset>
            </wp:positionV>
            <wp:extent cx="13220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22070" cy="8255"/>
                    </a:xfrm>
                    <a:prstGeom prst="rect">
                      <a:avLst/>
                    </a:prstGeom>
                    <a:noFill/>
                  </pic:spPr>
                </pic:pic>
              </a:graphicData>
            </a:graphic>
          </wp:anchor>
        </w:drawing>
      </w:r>
    </w:p>
    <w:p>
      <w:pPr>
        <w:spacing w:after="0" w:line="282" w:lineRule="exact"/>
        <w:rPr>
          <w:sz w:val="20"/>
          <w:szCs w:val="20"/>
          <w:color w:val="auto"/>
        </w:rPr>
      </w:pPr>
    </w:p>
    <w:p>
      <w:pPr>
        <w:ind w:left="540" w:hanging="534"/>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Directors’ fees for service on United’s bank subsidiaries’ boards of directors, country club dues and company provided automobile.</w:t>
      </w:r>
    </w:p>
    <w:p>
      <w:pPr>
        <w:spacing w:after="0" w:line="217" w:lineRule="exact"/>
        <w:rPr>
          <w:rFonts w:ascii="Arial" w:cs="Arial" w:eastAsia="Arial" w:hAnsi="Arial"/>
          <w:sz w:val="18"/>
          <w:szCs w:val="18"/>
          <w:color w:val="auto"/>
        </w:rPr>
      </w:pPr>
    </w:p>
    <w:p>
      <w:pPr>
        <w:jc w:val="both"/>
        <w:ind w:left="540" w:right="220" w:hanging="534"/>
        <w:spacing w:after="0" w:line="255"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3,750 shares of restricted stock awarded to Mr. Tallent that vest in equal installments over a four-year period beginning on January 1, 2005. Dividends are paid on the shares during the vesting period. The value of the restricted stock was based on $24.61 per share, the closing market price of United’s common stock on the date of grant.</w:t>
      </w:r>
    </w:p>
    <w:p>
      <w:pPr>
        <w:spacing w:after="0" w:line="188" w:lineRule="exact"/>
        <w:rPr>
          <w:rFonts w:ascii="Arial" w:cs="Arial" w:eastAsia="Arial" w:hAnsi="Arial"/>
          <w:sz w:val="18"/>
          <w:szCs w:val="18"/>
          <w:color w:val="auto"/>
        </w:rPr>
      </w:pPr>
    </w:p>
    <w:p>
      <w:pPr>
        <w:ind w:left="540" w:right="200" w:hanging="534"/>
        <w:spacing w:after="0" w:line="366" w:lineRule="auto"/>
        <w:tabs>
          <w:tab w:leader="none" w:pos="5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Represents contributions by United of $16,400, $16,000, and $16,000 for 2004, 2003 and 2002, respectively, on behalf of Mr. Tallent to United’s Profit Sharing Plan (the “Profit Sharing Plan”) and a contribution of $29,300 for 2004 on behalf of Mr. Tallent to United’s Deferred Compensation Plan.</w:t>
      </w:r>
    </w:p>
    <w:p>
      <w:pPr>
        <w:spacing w:after="0" w:line="110" w:lineRule="exact"/>
        <w:rPr>
          <w:rFonts w:ascii="Arial" w:cs="Arial" w:eastAsia="Arial" w:hAnsi="Arial"/>
          <w:sz w:val="15"/>
          <w:szCs w:val="15"/>
          <w:color w:val="auto"/>
        </w:rPr>
      </w:pPr>
    </w:p>
    <w:p>
      <w:pPr>
        <w:ind w:left="540" w:right="200" w:hanging="534"/>
        <w:spacing w:after="0" w:line="265"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Perquisites do not meet the Securities and Exchange Commission threshold for disclosure, which is the lesser of $50,000 or 10% of the total salary and bonus for the executive officer.</w:t>
      </w:r>
    </w:p>
    <w:p>
      <w:pPr>
        <w:spacing w:after="0" w:line="179" w:lineRule="exact"/>
        <w:rPr>
          <w:rFonts w:ascii="Arial" w:cs="Arial" w:eastAsia="Arial" w:hAnsi="Arial"/>
          <w:sz w:val="18"/>
          <w:szCs w:val="18"/>
          <w:color w:val="auto"/>
        </w:rPr>
      </w:pPr>
    </w:p>
    <w:p>
      <w:pPr>
        <w:ind w:left="540" w:right="80" w:hanging="534"/>
        <w:spacing w:after="0" w:line="255"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2,200 shares of restricted stock awarded to Mr. Freeman that vest in equal installments over a four-year period beginning on January 1, 2005. Dividends are paid on the shares during the vesting period. The value of the restricted stock was based on $24.61 per share, the closing market price of United’s common stock on the date of grant.</w:t>
      </w:r>
    </w:p>
    <w:p>
      <w:pPr>
        <w:spacing w:after="0" w:line="188" w:lineRule="exact"/>
        <w:rPr>
          <w:rFonts w:ascii="Arial" w:cs="Arial" w:eastAsia="Arial" w:hAnsi="Arial"/>
          <w:sz w:val="18"/>
          <w:szCs w:val="18"/>
          <w:color w:val="auto"/>
        </w:rPr>
      </w:pPr>
    </w:p>
    <w:p>
      <w:pPr>
        <w:ind w:left="540" w:right="400" w:hanging="534"/>
        <w:spacing w:after="0" w:line="294" w:lineRule="auto"/>
        <w:tabs>
          <w:tab w:leader="none" w:pos="5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Represents contributions by United of $16,400, $16,000, and $16, 000 for 2004, 2003 and 2002, respectively, on behalf of Mr. Freeman to the Profit Sharing Plan and a contribution of $2,763 for 2004 on behalf of Mr. Freeman to United’s Deferred Compensation Plan.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620" w:hanging="614"/>
        <w:spacing w:after="0" w:line="255" w:lineRule="auto"/>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2,000 shares of restricted stock awarded to Mr. Schuette that vest in equal installments over a four-year period beginning on January 1, 2005. Dividends are paid on the shares during the vesting period. The value of the restricted stock was based on $24.61 per share, the closing market price of United’s common stock on the date of grant.</w:t>
      </w:r>
    </w:p>
    <w:p>
      <w:pPr>
        <w:spacing w:after="0" w:line="188" w:lineRule="exact"/>
        <w:rPr>
          <w:rFonts w:ascii="Arial" w:cs="Arial" w:eastAsia="Arial" w:hAnsi="Arial"/>
          <w:sz w:val="18"/>
          <w:szCs w:val="18"/>
          <w:color w:val="auto"/>
        </w:rPr>
      </w:pPr>
    </w:p>
    <w:p>
      <w:pPr>
        <w:ind w:left="620" w:right="160" w:hanging="614"/>
        <w:spacing w:after="0" w:line="277" w:lineRule="auto"/>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Represents contributions by United of $16,400, $16,000 and $14,159 for 2004, 2003 and 2002, respectively, on behalf of Mr. Schuette to the Profit Sharing Plan, a contribution of $9,919 for 2004 on behalf of Mr. Schuette to United’s Deferred Compensation Plan, and $87,231 paid in 2002 to cover certain relocation costs incurred with Mr. Schuette’s move to Blairsville, including taxes owed on such amounts.</w:t>
      </w:r>
    </w:p>
    <w:p>
      <w:pPr>
        <w:spacing w:after="0" w:line="171" w:lineRule="exact"/>
        <w:rPr>
          <w:rFonts w:ascii="Arial" w:cs="Arial" w:eastAsia="Arial" w:hAnsi="Arial"/>
          <w:sz w:val="17"/>
          <w:szCs w:val="17"/>
          <w:color w:val="auto"/>
        </w:rPr>
      </w:pPr>
    </w:p>
    <w:p>
      <w:pPr>
        <w:ind w:left="620" w:right="280" w:hanging="614"/>
        <w:spacing w:after="0" w:line="255" w:lineRule="auto"/>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1,900 shares of restricted stock awarded to Mr. Gilliland that vest in equal installments over a four-year period beginning on January 1, 2005. Dividends are paid on the shares during the vesting period. The value of the restricted stock was based on $24.61 per share, the closing market price of United’s common stock on the date of grant.</w:t>
      </w:r>
    </w:p>
    <w:p>
      <w:pPr>
        <w:spacing w:after="0" w:line="188" w:lineRule="exact"/>
        <w:rPr>
          <w:rFonts w:ascii="Arial" w:cs="Arial" w:eastAsia="Arial" w:hAnsi="Arial"/>
          <w:sz w:val="18"/>
          <w:szCs w:val="18"/>
          <w:color w:val="auto"/>
        </w:rPr>
      </w:pPr>
    </w:p>
    <w:p>
      <w:pPr>
        <w:ind w:left="620" w:right="340" w:hanging="614"/>
        <w:spacing w:after="0" w:line="294" w:lineRule="auto"/>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Represents contributions by United of $16,400, $16,000, and $16,000 for 2004, 2003 and 2002, respectively, on behalf of Mr. Gilliland to the Profit Sharing Plan and a contribution of $7,794 for 2004 on behalf of Mr. Gilliland to United’s Deferred Compensation Plan.</w:t>
      </w:r>
    </w:p>
    <w:p>
      <w:pPr>
        <w:spacing w:after="0" w:line="157" w:lineRule="exact"/>
        <w:rPr>
          <w:rFonts w:ascii="Arial" w:cs="Arial" w:eastAsia="Arial" w:hAnsi="Arial"/>
          <w:sz w:val="17"/>
          <w:szCs w:val="17"/>
          <w:color w:val="auto"/>
        </w:rPr>
      </w:pPr>
    </w:p>
    <w:p>
      <w:pPr>
        <w:ind w:left="620" w:hanging="614"/>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Williams was appointed Executive Vice President of Risk Management of United in March 2002.</w:t>
      </w:r>
    </w:p>
    <w:p>
      <w:pPr>
        <w:spacing w:after="0" w:line="217" w:lineRule="exact"/>
        <w:rPr>
          <w:rFonts w:ascii="Arial" w:cs="Arial" w:eastAsia="Arial" w:hAnsi="Arial"/>
          <w:sz w:val="18"/>
          <w:szCs w:val="18"/>
          <w:color w:val="auto"/>
        </w:rPr>
      </w:pPr>
    </w:p>
    <w:p>
      <w:pPr>
        <w:ind w:left="620" w:right="280" w:hanging="614"/>
        <w:spacing w:after="0" w:line="255" w:lineRule="auto"/>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1,100 shares of restricted stock awarded to Mr. Williams that vest in equal installments over a four-year period beginning on January 1, 2005. Dividends are paid on the shares during the vesting period. The value of the restricted stock was based on $24.61 per share, the closing market price of United’s common stock on the date of grant.</w:t>
      </w:r>
    </w:p>
    <w:p>
      <w:pPr>
        <w:spacing w:after="0" w:line="188" w:lineRule="exact"/>
        <w:rPr>
          <w:rFonts w:ascii="Arial" w:cs="Arial" w:eastAsia="Arial" w:hAnsi="Arial"/>
          <w:sz w:val="18"/>
          <w:szCs w:val="18"/>
          <w:color w:val="auto"/>
        </w:rPr>
      </w:pPr>
    </w:p>
    <w:p>
      <w:pPr>
        <w:ind w:left="620" w:right="100" w:hanging="614"/>
        <w:spacing w:after="0" w:line="265" w:lineRule="auto"/>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contributions by United of $14,875 and $10,672 for 2004 and 2003, respectively, on behalf of Mr. Williams to the Profit Sharing Plan and a contribution of $3,500 for 2004 on behalf of Mr. Williams to United’s Deferred Compensation Plan.</w:t>
      </w:r>
    </w:p>
    <w:p>
      <w:pPr>
        <w:spacing w:after="0" w:line="147"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Option Grants in 2004</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sets forth information with respect to stock options granted to the named executive officers during the year 2004:</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180" w:type="dxa"/>
            <w:vAlign w:val="bottom"/>
            <w:gridSpan w:val="5"/>
          </w:tcPr>
          <w:p>
            <w:pPr>
              <w:jc w:val="center"/>
              <w:ind w:right="20"/>
              <w:spacing w:after="0"/>
              <w:rPr>
                <w:sz w:val="20"/>
                <w:szCs w:val="20"/>
                <w:color w:val="auto"/>
              </w:rPr>
            </w:pPr>
            <w:r>
              <w:rPr>
                <w:rFonts w:ascii="Arial" w:cs="Arial" w:eastAsia="Arial" w:hAnsi="Arial"/>
                <w:sz w:val="14"/>
                <w:szCs w:val="14"/>
                <w:color w:val="auto"/>
                <w:w w:val="91"/>
              </w:rPr>
              <w:t>Potential Realizable Value at</w:t>
            </w:r>
          </w:p>
        </w:tc>
        <w:tc>
          <w:tcPr>
            <w:tcW w:w="0" w:type="dxa"/>
            <w:vAlign w:val="bottom"/>
          </w:tcPr>
          <w:p>
            <w:pPr>
              <w:spacing w:after="0"/>
              <w:rPr>
                <w:sz w:val="1"/>
                <w:szCs w:val="1"/>
                <w:color w:val="auto"/>
              </w:rPr>
            </w:pPr>
          </w:p>
        </w:tc>
      </w:tr>
      <w:tr>
        <w:trPr>
          <w:trHeight w:val="146"/>
        </w:trPr>
        <w:tc>
          <w:tcPr>
            <w:tcW w:w="4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gridSpan w:val="2"/>
          </w:tcPr>
          <w:p>
            <w:pPr>
              <w:jc w:val="center"/>
              <w:ind w:right="200"/>
              <w:spacing w:after="0" w:line="146" w:lineRule="exact"/>
              <w:rPr>
                <w:sz w:val="20"/>
                <w:szCs w:val="20"/>
                <w:color w:val="auto"/>
              </w:rPr>
            </w:pPr>
            <w:r>
              <w:rPr>
                <w:rFonts w:ascii="Arial" w:cs="Arial" w:eastAsia="Arial" w:hAnsi="Arial"/>
                <w:sz w:val="14"/>
                <w:szCs w:val="14"/>
                <w:color w:val="auto"/>
                <w:w w:val="91"/>
              </w:rPr>
              <w:t>Number of</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180" w:type="dxa"/>
            <w:vAlign w:val="bottom"/>
            <w:gridSpan w:val="5"/>
          </w:tcPr>
          <w:p>
            <w:pPr>
              <w:jc w:val="center"/>
              <w:spacing w:after="0" w:line="146" w:lineRule="exact"/>
              <w:rPr>
                <w:sz w:val="20"/>
                <w:szCs w:val="20"/>
                <w:color w:val="auto"/>
              </w:rPr>
            </w:pPr>
            <w:r>
              <w:rPr>
                <w:rFonts w:ascii="Arial" w:cs="Arial" w:eastAsia="Arial" w:hAnsi="Arial"/>
                <w:sz w:val="14"/>
                <w:szCs w:val="14"/>
                <w:color w:val="auto"/>
                <w:w w:val="92"/>
              </w:rPr>
              <w:t>Assumed Annual Rates of Stock Price</w:t>
            </w:r>
          </w:p>
        </w:tc>
        <w:tc>
          <w:tcPr>
            <w:tcW w:w="0" w:type="dxa"/>
            <w:vAlign w:val="bottom"/>
          </w:tcPr>
          <w:p>
            <w:pPr>
              <w:spacing w:after="0"/>
              <w:rPr>
                <w:sz w:val="1"/>
                <w:szCs w:val="1"/>
                <w:color w:val="auto"/>
              </w:rPr>
            </w:pPr>
          </w:p>
        </w:tc>
      </w:tr>
      <w:tr>
        <w:trPr>
          <w:trHeight w:val="164"/>
        </w:trPr>
        <w:tc>
          <w:tcPr>
            <w:tcW w:w="4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Securities</w:t>
            </w:r>
          </w:p>
        </w:tc>
        <w:tc>
          <w:tcPr>
            <w:tcW w:w="180" w:type="dxa"/>
            <w:vAlign w:val="bottom"/>
          </w:tcPr>
          <w:p>
            <w:pPr>
              <w:spacing w:after="0"/>
              <w:rPr>
                <w:sz w:val="14"/>
                <w:szCs w:val="14"/>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4"/>
                <w:szCs w:val="14"/>
                <w:color w:val="auto"/>
                <w:w w:val="93"/>
              </w:rPr>
              <w:t>% of Total Options</w:t>
            </w: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180" w:type="dxa"/>
            <w:vAlign w:val="bottom"/>
            <w:gridSpan w:val="5"/>
          </w:tcPr>
          <w:p>
            <w:pPr>
              <w:jc w:val="center"/>
              <w:ind w:right="20"/>
              <w:spacing w:after="0"/>
              <w:rPr>
                <w:sz w:val="20"/>
                <w:szCs w:val="20"/>
                <w:color w:val="auto"/>
              </w:rPr>
            </w:pPr>
            <w:r>
              <w:rPr>
                <w:rFonts w:ascii="Arial" w:cs="Arial" w:eastAsia="Arial" w:hAnsi="Arial"/>
                <w:sz w:val="14"/>
                <w:szCs w:val="14"/>
                <w:color w:val="auto"/>
                <w:w w:val="94"/>
              </w:rPr>
              <w:t>Appreciation for Option Term</w:t>
            </w:r>
            <w:r>
              <w:rPr>
                <w:rFonts w:ascii="Arial" w:cs="Arial" w:eastAsia="Arial" w:hAnsi="Arial"/>
                <w:sz w:val="12"/>
                <w:szCs w:val="12"/>
                <w:color w:val="auto"/>
                <w:w w:val="94"/>
              </w:rPr>
              <w:t>(2)</w:t>
            </w:r>
          </w:p>
        </w:tc>
        <w:tc>
          <w:tcPr>
            <w:tcW w:w="0" w:type="dxa"/>
            <w:vAlign w:val="bottom"/>
          </w:tcPr>
          <w:p>
            <w:pPr>
              <w:spacing w:after="0"/>
              <w:rPr>
                <w:sz w:val="1"/>
                <w:szCs w:val="1"/>
                <w:color w:val="auto"/>
              </w:rPr>
            </w:pPr>
          </w:p>
        </w:tc>
      </w:tr>
      <w:tr>
        <w:trPr>
          <w:trHeight w:val="121"/>
        </w:trPr>
        <w:tc>
          <w:tcPr>
            <w:tcW w:w="4800" w:type="dxa"/>
            <w:vAlign w:val="bottom"/>
          </w:tcPr>
          <w:p>
            <w:pPr>
              <w:spacing w:after="0"/>
              <w:rPr>
                <w:sz w:val="10"/>
                <w:szCs w:val="10"/>
                <w:color w:val="auto"/>
              </w:rPr>
            </w:pPr>
          </w:p>
        </w:tc>
        <w:tc>
          <w:tcPr>
            <w:tcW w:w="1600" w:type="dxa"/>
            <w:vAlign w:val="bottom"/>
            <w:gridSpan w:val="3"/>
          </w:tcPr>
          <w:p>
            <w:pPr>
              <w:jc w:val="center"/>
              <w:ind w:left="16"/>
              <w:spacing w:after="0" w:line="121" w:lineRule="exact"/>
              <w:rPr>
                <w:sz w:val="20"/>
                <w:szCs w:val="20"/>
                <w:color w:val="auto"/>
              </w:rPr>
            </w:pPr>
            <w:r>
              <w:rPr>
                <w:rFonts w:ascii="Arial" w:cs="Arial" w:eastAsia="Arial" w:hAnsi="Arial"/>
                <w:sz w:val="13"/>
                <w:szCs w:val="13"/>
                <w:color w:val="auto"/>
              </w:rPr>
              <w:t>Underlying Options</w:t>
            </w:r>
          </w:p>
        </w:tc>
        <w:tc>
          <w:tcPr>
            <w:tcW w:w="180" w:type="dxa"/>
            <w:vAlign w:val="bottom"/>
          </w:tcPr>
          <w:p>
            <w:pPr>
              <w:spacing w:after="0"/>
              <w:rPr>
                <w:sz w:val="10"/>
                <w:szCs w:val="10"/>
                <w:color w:val="auto"/>
              </w:rPr>
            </w:pPr>
          </w:p>
        </w:tc>
        <w:tc>
          <w:tcPr>
            <w:tcW w:w="1520" w:type="dxa"/>
            <w:vAlign w:val="bottom"/>
            <w:gridSpan w:val="2"/>
          </w:tcPr>
          <w:p>
            <w:pPr>
              <w:jc w:val="center"/>
              <w:ind w:right="440"/>
              <w:spacing w:after="0" w:line="121" w:lineRule="exact"/>
              <w:rPr>
                <w:sz w:val="20"/>
                <w:szCs w:val="20"/>
                <w:color w:val="auto"/>
              </w:rPr>
            </w:pPr>
            <w:r>
              <w:rPr>
                <w:rFonts w:ascii="Arial" w:cs="Arial" w:eastAsia="Arial" w:hAnsi="Arial"/>
                <w:sz w:val="13"/>
                <w:szCs w:val="13"/>
                <w:color w:val="auto"/>
                <w:w w:val="97"/>
              </w:rPr>
              <w:t>Granted to</w:t>
            </w:r>
          </w:p>
        </w:tc>
        <w:tc>
          <w:tcPr>
            <w:tcW w:w="1060" w:type="dxa"/>
            <w:vAlign w:val="bottom"/>
            <w:gridSpan w:val="2"/>
          </w:tcPr>
          <w:p>
            <w:pPr>
              <w:ind w:left="40"/>
              <w:spacing w:after="0" w:line="121" w:lineRule="exact"/>
              <w:rPr>
                <w:sz w:val="20"/>
                <w:szCs w:val="20"/>
                <w:color w:val="auto"/>
              </w:rPr>
            </w:pPr>
            <w:r>
              <w:rPr>
                <w:rFonts w:ascii="Arial" w:cs="Arial" w:eastAsia="Arial" w:hAnsi="Arial"/>
                <w:sz w:val="13"/>
                <w:szCs w:val="13"/>
                <w:color w:val="auto"/>
              </w:rPr>
              <w:t>Expiration</w:t>
            </w:r>
          </w:p>
        </w:tc>
        <w:tc>
          <w:tcPr>
            <w:tcW w:w="8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4800" w:type="dxa"/>
            <w:vAlign w:val="bottom"/>
          </w:tcPr>
          <w:p>
            <w:pPr>
              <w:spacing w:after="0"/>
              <w:rPr>
                <w:sz w:val="20"/>
                <w:szCs w:val="20"/>
                <w:color w:val="auto"/>
              </w:rPr>
            </w:pPr>
            <w:r>
              <w:rPr>
                <w:rFonts w:ascii="Arial" w:cs="Arial" w:eastAsia="Arial" w:hAnsi="Arial"/>
                <w:sz w:val="14"/>
                <w:szCs w:val="14"/>
                <w:color w:val="auto"/>
              </w:rPr>
              <w:t>Executive Officers</w:t>
            </w:r>
          </w:p>
        </w:tc>
        <w:tc>
          <w:tcPr>
            <w:tcW w:w="2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1"/>
              </w:rPr>
              <w:t>Granted</w:t>
            </w:r>
            <w:r>
              <w:rPr>
                <w:rFonts w:ascii="Arial" w:cs="Arial" w:eastAsia="Arial" w:hAnsi="Arial"/>
                <w:sz w:val="12"/>
                <w:szCs w:val="12"/>
                <w:color w:val="auto"/>
                <w:w w:val="91"/>
              </w:rPr>
              <w:t>(1)</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4"/>
                <w:szCs w:val="14"/>
                <w:color w:val="auto"/>
                <w:w w:val="92"/>
              </w:rPr>
              <w:t>Employees in 2004</w:t>
            </w:r>
          </w:p>
        </w:tc>
        <w:tc>
          <w:tcPr>
            <w:tcW w:w="1060" w:type="dxa"/>
            <w:vAlign w:val="bottom"/>
            <w:gridSpan w:val="2"/>
          </w:tcPr>
          <w:p>
            <w:pPr>
              <w:ind w:left="200"/>
              <w:spacing w:after="0"/>
              <w:rPr>
                <w:sz w:val="20"/>
                <w:szCs w:val="20"/>
                <w:color w:val="auto"/>
              </w:rPr>
            </w:pPr>
            <w:r>
              <w:rPr>
                <w:rFonts w:ascii="Arial" w:cs="Arial" w:eastAsia="Arial" w:hAnsi="Arial"/>
                <w:sz w:val="14"/>
                <w:szCs w:val="14"/>
                <w:color w:val="auto"/>
              </w:rPr>
              <w:t>Date</w:t>
            </w:r>
          </w:p>
        </w:tc>
        <w:tc>
          <w:tcPr>
            <w:tcW w:w="820" w:type="dxa"/>
            <w:vAlign w:val="bottom"/>
          </w:tcPr>
          <w:p>
            <w:pPr>
              <w:jc w:val="right"/>
              <w:ind w:right="239"/>
              <w:spacing w:after="0"/>
              <w:rPr>
                <w:sz w:val="20"/>
                <w:szCs w:val="20"/>
                <w:color w:val="auto"/>
              </w:rPr>
            </w:pPr>
            <w:r>
              <w:rPr>
                <w:rFonts w:ascii="Arial" w:cs="Arial" w:eastAsia="Arial" w:hAnsi="Arial"/>
                <w:sz w:val="14"/>
                <w:szCs w:val="14"/>
                <w:color w:val="auto"/>
              </w:rPr>
              <w:t>5%</w:t>
            </w:r>
          </w:p>
        </w:tc>
        <w:tc>
          <w:tcPr>
            <w:tcW w:w="260" w:type="dxa"/>
            <w:vAlign w:val="bottom"/>
          </w:tcPr>
          <w:p>
            <w:pPr>
              <w:spacing w:after="0"/>
              <w:rPr>
                <w:sz w:val="14"/>
                <w:szCs w:val="14"/>
                <w:color w:val="auto"/>
              </w:rPr>
            </w:pPr>
          </w:p>
        </w:tc>
        <w:tc>
          <w:tcPr>
            <w:tcW w:w="1080" w:type="dxa"/>
            <w:vAlign w:val="bottom"/>
            <w:gridSpan w:val="2"/>
          </w:tcPr>
          <w:p>
            <w:pPr>
              <w:jc w:val="right"/>
              <w:ind w:right="192"/>
              <w:spacing w:after="0"/>
              <w:rPr>
                <w:sz w:val="20"/>
                <w:szCs w:val="20"/>
                <w:color w:val="auto"/>
              </w:rPr>
            </w:pPr>
            <w:r>
              <w:rPr>
                <w:rFonts w:ascii="Arial" w:cs="Arial" w:eastAsia="Arial" w:hAnsi="Arial"/>
                <w:sz w:val="14"/>
                <w:szCs w:val="14"/>
                <w:color w:val="auto"/>
              </w:rPr>
              <w:t>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800" w:type="dxa"/>
            <w:vAlign w:val="bottom"/>
          </w:tcPr>
          <w:p>
            <w:pPr>
              <w:spacing w:after="0" w:line="193" w:lineRule="exact"/>
              <w:rPr>
                <w:sz w:val="20"/>
                <w:szCs w:val="20"/>
                <w:color w:val="auto"/>
              </w:rPr>
            </w:pPr>
            <w:r>
              <w:rPr>
                <w:rFonts w:ascii="Arial" w:cs="Arial" w:eastAsia="Arial" w:hAnsi="Arial"/>
                <w:sz w:val="18"/>
                <w:szCs w:val="18"/>
                <w:color w:val="auto"/>
              </w:rPr>
              <w:t>Jimmy C. Tallent</w:t>
            </w:r>
          </w:p>
        </w:tc>
        <w:tc>
          <w:tcPr>
            <w:tcW w:w="280" w:type="dxa"/>
            <w:vAlign w:val="bottom"/>
            <w:vMerge w:val="continue"/>
          </w:tcPr>
          <w:p>
            <w:pPr>
              <w:spacing w:after="0"/>
              <w:rPr>
                <w:sz w:val="16"/>
                <w:szCs w:val="16"/>
                <w:color w:val="auto"/>
              </w:rPr>
            </w:pPr>
          </w:p>
        </w:tc>
        <w:tc>
          <w:tcPr>
            <w:tcW w:w="1120" w:type="dxa"/>
            <w:vAlign w:val="bottom"/>
          </w:tcPr>
          <w:p>
            <w:pPr>
              <w:jc w:val="right"/>
              <w:spacing w:after="0" w:line="193" w:lineRule="exact"/>
              <w:rPr>
                <w:sz w:val="20"/>
                <w:szCs w:val="20"/>
                <w:color w:val="auto"/>
              </w:rPr>
            </w:pPr>
            <w:r>
              <w:rPr>
                <w:rFonts w:ascii="Arial" w:cs="Arial" w:eastAsia="Arial" w:hAnsi="Arial"/>
                <w:sz w:val="18"/>
                <w:szCs w:val="18"/>
                <w:color w:val="auto"/>
              </w:rPr>
              <w:t>17,000</w:t>
            </w:r>
          </w:p>
        </w:tc>
        <w:tc>
          <w:tcPr>
            <w:tcW w:w="20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1520" w:type="dxa"/>
            <w:vAlign w:val="bottom"/>
            <w:gridSpan w:val="2"/>
          </w:tcPr>
          <w:p>
            <w:pPr>
              <w:ind w:left="860"/>
              <w:spacing w:after="0" w:line="193" w:lineRule="exact"/>
              <w:rPr>
                <w:sz w:val="20"/>
                <w:szCs w:val="20"/>
                <w:color w:val="auto"/>
              </w:rPr>
            </w:pPr>
            <w:r>
              <w:rPr>
                <w:rFonts w:ascii="Arial" w:cs="Arial" w:eastAsia="Arial" w:hAnsi="Arial"/>
                <w:sz w:val="18"/>
                <w:szCs w:val="18"/>
                <w:color w:val="auto"/>
              </w:rPr>
              <w:t>5.3%</w:t>
            </w:r>
          </w:p>
        </w:tc>
        <w:tc>
          <w:tcPr>
            <w:tcW w:w="680" w:type="dxa"/>
            <w:vAlign w:val="bottom"/>
          </w:tcPr>
          <w:p>
            <w:pPr>
              <w:ind w:left="220"/>
              <w:spacing w:after="0" w:line="193" w:lineRule="exact"/>
              <w:rPr>
                <w:sz w:val="20"/>
                <w:szCs w:val="20"/>
                <w:color w:val="auto"/>
              </w:rPr>
            </w:pPr>
            <w:r>
              <w:rPr>
                <w:rFonts w:ascii="Arial" w:cs="Arial" w:eastAsia="Arial" w:hAnsi="Arial"/>
                <w:sz w:val="18"/>
                <w:szCs w:val="18"/>
                <w:color w:val="auto"/>
                <w:w w:val="87"/>
              </w:rPr>
              <w:t>6/7/14</w:t>
            </w:r>
          </w:p>
        </w:tc>
        <w:tc>
          <w:tcPr>
            <w:tcW w:w="380" w:type="dxa"/>
            <w:vAlign w:val="bottom"/>
            <w:vMerge w:val="continue"/>
          </w:tcPr>
          <w:p>
            <w:pPr>
              <w:spacing w:after="0"/>
              <w:rPr>
                <w:sz w:val="16"/>
                <w:szCs w:val="16"/>
                <w:color w:val="auto"/>
              </w:rPr>
            </w:pPr>
          </w:p>
        </w:tc>
        <w:tc>
          <w:tcPr>
            <w:tcW w:w="820" w:type="dxa"/>
            <w:vAlign w:val="bottom"/>
          </w:tcPr>
          <w:p>
            <w:pPr>
              <w:jc w:val="right"/>
              <w:spacing w:after="0" w:line="193" w:lineRule="exact"/>
              <w:rPr>
                <w:sz w:val="20"/>
                <w:szCs w:val="20"/>
                <w:color w:val="auto"/>
              </w:rPr>
            </w:pPr>
            <w:r>
              <w:rPr>
                <w:rFonts w:ascii="Arial" w:cs="Arial" w:eastAsia="Arial" w:hAnsi="Arial"/>
                <w:sz w:val="18"/>
                <w:szCs w:val="18"/>
                <w:color w:val="auto"/>
                <w:w w:val="93"/>
              </w:rPr>
              <w:t>$  254,000</w:t>
            </w:r>
          </w:p>
        </w:tc>
        <w:tc>
          <w:tcPr>
            <w:tcW w:w="260" w:type="dxa"/>
            <w:vAlign w:val="bottom"/>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820" w:type="dxa"/>
            <w:vAlign w:val="bottom"/>
          </w:tcPr>
          <w:p>
            <w:pPr>
              <w:jc w:val="right"/>
              <w:spacing w:after="0" w:line="193" w:lineRule="exact"/>
              <w:rPr>
                <w:sz w:val="20"/>
                <w:szCs w:val="20"/>
                <w:color w:val="auto"/>
              </w:rPr>
            </w:pPr>
            <w:r>
              <w:rPr>
                <w:rFonts w:ascii="Arial" w:cs="Arial" w:eastAsia="Arial" w:hAnsi="Arial"/>
                <w:sz w:val="18"/>
                <w:szCs w:val="18"/>
                <w:color w:val="auto"/>
                <w:w w:val="93"/>
              </w:rPr>
              <w:t>$  643,000</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800" w:type="dxa"/>
            <w:vAlign w:val="bottom"/>
          </w:tcPr>
          <w:p>
            <w:pPr>
              <w:spacing w:after="0"/>
              <w:rPr>
                <w:sz w:val="20"/>
                <w:szCs w:val="20"/>
                <w:color w:val="auto"/>
              </w:rPr>
            </w:pPr>
            <w:r>
              <w:rPr>
                <w:rFonts w:ascii="Arial" w:cs="Arial" w:eastAsia="Arial" w:hAnsi="Arial"/>
                <w:sz w:val="18"/>
                <w:szCs w:val="18"/>
                <w:color w:val="auto"/>
              </w:rPr>
              <w:t>Guy W. Freeman</w:t>
            </w:r>
          </w:p>
        </w:tc>
        <w:tc>
          <w:tcPr>
            <w:tcW w:w="1600" w:type="dxa"/>
            <w:vAlign w:val="bottom"/>
            <w:gridSpan w:val="3"/>
          </w:tcPr>
          <w:p>
            <w:pPr>
              <w:jc w:val="right"/>
              <w:ind w:right="200"/>
              <w:spacing w:after="0"/>
              <w:rPr>
                <w:sz w:val="20"/>
                <w:szCs w:val="20"/>
                <w:color w:val="auto"/>
              </w:rPr>
            </w:pPr>
            <w:r>
              <w:rPr>
                <w:rFonts w:ascii="Arial" w:cs="Arial" w:eastAsia="Arial" w:hAnsi="Arial"/>
                <w:sz w:val="18"/>
                <w:szCs w:val="18"/>
                <w:color w:val="auto"/>
              </w:rPr>
              <w:t>10,000</w:t>
            </w:r>
          </w:p>
        </w:tc>
        <w:tc>
          <w:tcPr>
            <w:tcW w:w="1700" w:type="dxa"/>
            <w:vAlign w:val="bottom"/>
            <w:gridSpan w:val="3"/>
          </w:tcPr>
          <w:p>
            <w:pPr>
              <w:ind w:left="1040"/>
              <w:spacing w:after="0"/>
              <w:rPr>
                <w:sz w:val="20"/>
                <w:szCs w:val="20"/>
                <w:color w:val="auto"/>
              </w:rPr>
            </w:pPr>
            <w:r>
              <w:rPr>
                <w:rFonts w:ascii="Arial" w:cs="Arial" w:eastAsia="Arial" w:hAnsi="Arial"/>
                <w:sz w:val="18"/>
                <w:szCs w:val="18"/>
                <w:color w:val="auto"/>
              </w:rPr>
              <w:t>3.1</w:t>
            </w:r>
          </w:p>
        </w:tc>
        <w:tc>
          <w:tcPr>
            <w:tcW w:w="1060" w:type="dxa"/>
            <w:vAlign w:val="bottom"/>
            <w:gridSpan w:val="2"/>
          </w:tcPr>
          <w:p>
            <w:pPr>
              <w:ind w:left="220"/>
              <w:spacing w:after="0"/>
              <w:rPr>
                <w:sz w:val="20"/>
                <w:szCs w:val="20"/>
                <w:color w:val="auto"/>
              </w:rPr>
            </w:pPr>
            <w:r>
              <w:rPr>
                <w:rFonts w:ascii="Arial" w:cs="Arial" w:eastAsia="Arial" w:hAnsi="Arial"/>
                <w:sz w:val="18"/>
                <w:szCs w:val="18"/>
                <w:color w:val="auto"/>
              </w:rPr>
              <w:t>6/7/14</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149,000</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379,000</w:t>
            </w:r>
          </w:p>
        </w:tc>
        <w:tc>
          <w:tcPr>
            <w:tcW w:w="0" w:type="dxa"/>
            <w:vAlign w:val="bottom"/>
          </w:tcPr>
          <w:p>
            <w:pPr>
              <w:spacing w:after="0"/>
              <w:rPr>
                <w:sz w:val="1"/>
                <w:szCs w:val="1"/>
                <w:color w:val="auto"/>
              </w:rPr>
            </w:pPr>
          </w:p>
        </w:tc>
      </w:tr>
      <w:tr>
        <w:trPr>
          <w:trHeight w:val="212"/>
        </w:trPr>
        <w:tc>
          <w:tcPr>
            <w:tcW w:w="4800" w:type="dxa"/>
            <w:vAlign w:val="bottom"/>
          </w:tcPr>
          <w:p>
            <w:pPr>
              <w:spacing w:after="0"/>
              <w:rPr>
                <w:sz w:val="20"/>
                <w:szCs w:val="20"/>
                <w:color w:val="auto"/>
              </w:rPr>
            </w:pPr>
            <w:r>
              <w:rPr>
                <w:rFonts w:ascii="Arial" w:cs="Arial" w:eastAsia="Arial" w:hAnsi="Arial"/>
                <w:sz w:val="18"/>
                <w:szCs w:val="18"/>
                <w:color w:val="auto"/>
              </w:rPr>
              <w:t>Rex S. Schuette</w:t>
            </w:r>
          </w:p>
        </w:tc>
        <w:tc>
          <w:tcPr>
            <w:tcW w:w="1600" w:type="dxa"/>
            <w:vAlign w:val="bottom"/>
            <w:gridSpan w:val="3"/>
          </w:tcPr>
          <w:p>
            <w:pPr>
              <w:jc w:val="right"/>
              <w:ind w:right="200"/>
              <w:spacing w:after="0"/>
              <w:rPr>
                <w:sz w:val="20"/>
                <w:szCs w:val="20"/>
                <w:color w:val="auto"/>
              </w:rPr>
            </w:pPr>
            <w:r>
              <w:rPr>
                <w:rFonts w:ascii="Arial" w:cs="Arial" w:eastAsia="Arial" w:hAnsi="Arial"/>
                <w:sz w:val="18"/>
                <w:szCs w:val="18"/>
                <w:color w:val="auto"/>
              </w:rPr>
              <w:t>9,000</w:t>
            </w:r>
          </w:p>
        </w:tc>
        <w:tc>
          <w:tcPr>
            <w:tcW w:w="1700" w:type="dxa"/>
            <w:vAlign w:val="bottom"/>
            <w:gridSpan w:val="3"/>
          </w:tcPr>
          <w:p>
            <w:pPr>
              <w:ind w:left="1040"/>
              <w:spacing w:after="0"/>
              <w:rPr>
                <w:sz w:val="20"/>
                <w:szCs w:val="20"/>
                <w:color w:val="auto"/>
              </w:rPr>
            </w:pPr>
            <w:r>
              <w:rPr>
                <w:rFonts w:ascii="Arial" w:cs="Arial" w:eastAsia="Arial" w:hAnsi="Arial"/>
                <w:sz w:val="18"/>
                <w:szCs w:val="18"/>
                <w:color w:val="auto"/>
              </w:rPr>
              <w:t>2.8</w:t>
            </w:r>
          </w:p>
        </w:tc>
        <w:tc>
          <w:tcPr>
            <w:tcW w:w="1060" w:type="dxa"/>
            <w:vAlign w:val="bottom"/>
            <w:gridSpan w:val="2"/>
          </w:tcPr>
          <w:p>
            <w:pPr>
              <w:ind w:left="220"/>
              <w:spacing w:after="0"/>
              <w:rPr>
                <w:sz w:val="20"/>
                <w:szCs w:val="20"/>
                <w:color w:val="auto"/>
              </w:rPr>
            </w:pPr>
            <w:r>
              <w:rPr>
                <w:rFonts w:ascii="Arial" w:cs="Arial" w:eastAsia="Arial" w:hAnsi="Arial"/>
                <w:sz w:val="18"/>
                <w:szCs w:val="18"/>
                <w:color w:val="auto"/>
              </w:rPr>
              <w:t>6/7/14</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134,000</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341,000</w:t>
            </w:r>
          </w:p>
        </w:tc>
        <w:tc>
          <w:tcPr>
            <w:tcW w:w="0" w:type="dxa"/>
            <w:vAlign w:val="bottom"/>
          </w:tcPr>
          <w:p>
            <w:pPr>
              <w:spacing w:after="0"/>
              <w:rPr>
                <w:sz w:val="1"/>
                <w:szCs w:val="1"/>
                <w:color w:val="auto"/>
              </w:rPr>
            </w:pPr>
          </w:p>
        </w:tc>
      </w:tr>
      <w:tr>
        <w:trPr>
          <w:trHeight w:val="212"/>
        </w:trPr>
        <w:tc>
          <w:tcPr>
            <w:tcW w:w="4800" w:type="dxa"/>
            <w:vAlign w:val="bottom"/>
          </w:tcPr>
          <w:p>
            <w:pPr>
              <w:spacing w:after="0"/>
              <w:rPr>
                <w:sz w:val="20"/>
                <w:szCs w:val="20"/>
                <w:color w:val="auto"/>
              </w:rPr>
            </w:pPr>
            <w:r>
              <w:rPr>
                <w:rFonts w:ascii="Arial" w:cs="Arial" w:eastAsia="Arial" w:hAnsi="Arial"/>
                <w:sz w:val="18"/>
                <w:szCs w:val="18"/>
                <w:color w:val="auto"/>
              </w:rPr>
              <w:t>Thomas C. Gilliland</w:t>
            </w:r>
          </w:p>
        </w:tc>
        <w:tc>
          <w:tcPr>
            <w:tcW w:w="1600" w:type="dxa"/>
            <w:vAlign w:val="bottom"/>
            <w:gridSpan w:val="3"/>
          </w:tcPr>
          <w:p>
            <w:pPr>
              <w:jc w:val="right"/>
              <w:ind w:right="200"/>
              <w:spacing w:after="0"/>
              <w:rPr>
                <w:sz w:val="20"/>
                <w:szCs w:val="20"/>
                <w:color w:val="auto"/>
              </w:rPr>
            </w:pPr>
            <w:r>
              <w:rPr>
                <w:rFonts w:ascii="Arial" w:cs="Arial" w:eastAsia="Arial" w:hAnsi="Arial"/>
                <w:sz w:val="18"/>
                <w:szCs w:val="18"/>
                <w:color w:val="auto"/>
              </w:rPr>
              <w:t>8,500</w:t>
            </w:r>
          </w:p>
        </w:tc>
        <w:tc>
          <w:tcPr>
            <w:tcW w:w="1700" w:type="dxa"/>
            <w:vAlign w:val="bottom"/>
            <w:gridSpan w:val="3"/>
          </w:tcPr>
          <w:p>
            <w:pPr>
              <w:ind w:left="1040"/>
              <w:spacing w:after="0"/>
              <w:rPr>
                <w:sz w:val="20"/>
                <w:szCs w:val="20"/>
                <w:color w:val="auto"/>
              </w:rPr>
            </w:pPr>
            <w:r>
              <w:rPr>
                <w:rFonts w:ascii="Arial" w:cs="Arial" w:eastAsia="Arial" w:hAnsi="Arial"/>
                <w:sz w:val="18"/>
                <w:szCs w:val="18"/>
                <w:color w:val="auto"/>
              </w:rPr>
              <w:t>2.6</w:t>
            </w:r>
          </w:p>
        </w:tc>
        <w:tc>
          <w:tcPr>
            <w:tcW w:w="1060" w:type="dxa"/>
            <w:vAlign w:val="bottom"/>
            <w:gridSpan w:val="2"/>
          </w:tcPr>
          <w:p>
            <w:pPr>
              <w:ind w:left="220"/>
              <w:spacing w:after="0"/>
              <w:rPr>
                <w:sz w:val="20"/>
                <w:szCs w:val="20"/>
                <w:color w:val="auto"/>
              </w:rPr>
            </w:pPr>
            <w:r>
              <w:rPr>
                <w:rFonts w:ascii="Arial" w:cs="Arial" w:eastAsia="Arial" w:hAnsi="Arial"/>
                <w:sz w:val="18"/>
                <w:szCs w:val="18"/>
                <w:color w:val="auto"/>
              </w:rPr>
              <w:t>6/7/14</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127,000</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322,000</w:t>
            </w:r>
          </w:p>
        </w:tc>
        <w:tc>
          <w:tcPr>
            <w:tcW w:w="0" w:type="dxa"/>
            <w:vAlign w:val="bottom"/>
          </w:tcPr>
          <w:p>
            <w:pPr>
              <w:spacing w:after="0"/>
              <w:rPr>
                <w:sz w:val="1"/>
                <w:szCs w:val="1"/>
                <w:color w:val="auto"/>
              </w:rPr>
            </w:pPr>
          </w:p>
        </w:tc>
      </w:tr>
      <w:tr>
        <w:trPr>
          <w:trHeight w:val="223"/>
        </w:trPr>
        <w:tc>
          <w:tcPr>
            <w:tcW w:w="4800" w:type="dxa"/>
            <w:vAlign w:val="bottom"/>
          </w:tcPr>
          <w:p>
            <w:pPr>
              <w:spacing w:after="0"/>
              <w:rPr>
                <w:sz w:val="20"/>
                <w:szCs w:val="20"/>
                <w:color w:val="auto"/>
              </w:rPr>
            </w:pPr>
            <w:r>
              <w:rPr>
                <w:rFonts w:ascii="Arial" w:cs="Arial" w:eastAsia="Arial" w:hAnsi="Arial"/>
                <w:sz w:val="18"/>
                <w:szCs w:val="18"/>
                <w:color w:val="auto"/>
              </w:rPr>
              <w:t>Ray K. Williams</w:t>
            </w:r>
          </w:p>
        </w:tc>
        <w:tc>
          <w:tcPr>
            <w:tcW w:w="1600" w:type="dxa"/>
            <w:vAlign w:val="bottom"/>
            <w:gridSpan w:val="3"/>
          </w:tcPr>
          <w:p>
            <w:pPr>
              <w:jc w:val="right"/>
              <w:ind w:right="200"/>
              <w:spacing w:after="0"/>
              <w:rPr>
                <w:sz w:val="20"/>
                <w:szCs w:val="20"/>
                <w:color w:val="auto"/>
              </w:rPr>
            </w:pPr>
            <w:r>
              <w:rPr>
                <w:rFonts w:ascii="Arial" w:cs="Arial" w:eastAsia="Arial" w:hAnsi="Arial"/>
                <w:sz w:val="18"/>
                <w:szCs w:val="18"/>
                <w:color w:val="auto"/>
              </w:rPr>
              <w:t>5,000</w:t>
            </w:r>
          </w:p>
        </w:tc>
        <w:tc>
          <w:tcPr>
            <w:tcW w:w="1700" w:type="dxa"/>
            <w:vAlign w:val="bottom"/>
            <w:gridSpan w:val="3"/>
          </w:tcPr>
          <w:p>
            <w:pPr>
              <w:ind w:left="1040"/>
              <w:spacing w:after="0"/>
              <w:rPr>
                <w:sz w:val="20"/>
                <w:szCs w:val="20"/>
                <w:color w:val="auto"/>
              </w:rPr>
            </w:pPr>
            <w:r>
              <w:rPr>
                <w:rFonts w:ascii="Arial" w:cs="Arial" w:eastAsia="Arial" w:hAnsi="Arial"/>
                <w:sz w:val="18"/>
                <w:szCs w:val="18"/>
                <w:color w:val="auto"/>
              </w:rPr>
              <w:t>1.5</w:t>
            </w:r>
          </w:p>
        </w:tc>
        <w:tc>
          <w:tcPr>
            <w:tcW w:w="1060" w:type="dxa"/>
            <w:vAlign w:val="bottom"/>
            <w:gridSpan w:val="2"/>
          </w:tcPr>
          <w:p>
            <w:pPr>
              <w:ind w:left="220"/>
              <w:spacing w:after="0"/>
              <w:rPr>
                <w:sz w:val="20"/>
                <w:szCs w:val="20"/>
                <w:color w:val="auto"/>
              </w:rPr>
            </w:pPr>
            <w:r>
              <w:rPr>
                <w:rFonts w:ascii="Arial" w:cs="Arial" w:eastAsia="Arial" w:hAnsi="Arial"/>
                <w:sz w:val="18"/>
                <w:szCs w:val="18"/>
                <w:color w:val="auto"/>
              </w:rPr>
              <w:t>6/7/14</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75,000</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189,000</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20" w:right="400" w:hanging="314"/>
        <w:spacing w:after="0" w:line="294" w:lineRule="auto"/>
        <w:tabs>
          <w:tab w:leader="none" w:pos="3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Each option is exercisable for one share of common stock. Options were granted on June 7, 2004, and vest in equal installments over a four-year period beginning on June 7, 2005. The exercise price of the options was $23.75 per share, the fair market value on the date of grant.</w:t>
      </w:r>
    </w:p>
    <w:p>
      <w:pPr>
        <w:spacing w:after="0" w:line="157" w:lineRule="exact"/>
        <w:rPr>
          <w:rFonts w:ascii="Arial" w:cs="Arial" w:eastAsia="Arial" w:hAnsi="Arial"/>
          <w:sz w:val="17"/>
          <w:szCs w:val="17"/>
          <w:color w:val="auto"/>
        </w:rPr>
      </w:pPr>
    </w:p>
    <w:p>
      <w:pPr>
        <w:ind w:left="320" w:right="140" w:hanging="314"/>
        <w:spacing w:after="0" w:line="267" w:lineRule="auto"/>
        <w:tabs>
          <w:tab w:leader="none" w:pos="3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“Potential Realizable Value” is disclosed for illustration only pursuant to SEC regulations that require such disclosure. The values disclosed are not intended to be, and should not be interpreted as, representations or projections of the future value of United’s common stock or of the stock price. Amounts are calculated at a 5% and 10% rate of annual appreciation in the value of the common stock (compounded annually over the option term of 10 years) and are not intended to forecast actual expected future appreciation, if any, of the common stock. The potential value to the optionee is the difference between the exercise price (price at the date of grant) and the appreciated value of the stock at the end of 10 years (at 5% and 10% growth rates) multiplied by the number of options. These amounts have been rounded to the nearest thousand dollars.</w:t>
      </w:r>
    </w:p>
    <w:p>
      <w:pPr>
        <w:spacing w:after="0" w:line="18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of December 31, 2004, United had not granted stock appreciation rights or similar awards to any of its present or past executive officers.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Aggregated Option Exercises in 2004 and Year-End Option Values</w:t>
      </w:r>
    </w:p>
    <w:p>
      <w:pPr>
        <w:spacing w:after="0" w:line="197" w:lineRule="exact"/>
        <w:rPr>
          <w:sz w:val="20"/>
          <w:szCs w:val="20"/>
          <w:color w:val="auto"/>
        </w:rPr>
      </w:pPr>
    </w:p>
    <w:p>
      <w:pPr>
        <w:ind w:right="220" w:firstLine="218"/>
        <w:spacing w:after="0" w:line="265" w:lineRule="auto"/>
        <w:rPr>
          <w:sz w:val="20"/>
          <w:szCs w:val="20"/>
          <w:color w:val="auto"/>
        </w:rPr>
      </w:pPr>
      <w:r>
        <w:rPr>
          <w:rFonts w:ascii="Arial" w:cs="Arial" w:eastAsia="Arial" w:hAnsi="Arial"/>
          <w:sz w:val="18"/>
          <w:szCs w:val="18"/>
          <w:color w:val="auto"/>
        </w:rPr>
        <w:t>The following table sets forth the number and value of options exercised during 2004 by the named executive officers and the number of shares covered by both exercisable and unexercisable options, including the value of these options as of December 31, 2004:</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340" w:type="dxa"/>
            <w:vAlign w:val="bottom"/>
            <w:gridSpan w:val="4"/>
          </w:tcPr>
          <w:p>
            <w:pPr>
              <w:jc w:val="center"/>
              <w:ind w:right="440"/>
              <w:spacing w:after="0"/>
              <w:rPr>
                <w:sz w:val="20"/>
                <w:szCs w:val="20"/>
                <w:color w:val="auto"/>
              </w:rPr>
            </w:pPr>
            <w:r>
              <w:rPr>
                <w:rFonts w:ascii="Arial" w:cs="Arial" w:eastAsia="Arial" w:hAnsi="Arial"/>
                <w:sz w:val="14"/>
                <w:szCs w:val="14"/>
                <w:color w:val="auto"/>
                <w:w w:val="94"/>
              </w:rPr>
              <w:t>Number of</w:t>
            </w:r>
          </w:p>
        </w:tc>
        <w:tc>
          <w:tcPr>
            <w:tcW w:w="2060" w:type="dxa"/>
            <w:vAlign w:val="bottom"/>
            <w:gridSpan w:val="4"/>
          </w:tcPr>
          <w:p>
            <w:pPr>
              <w:jc w:val="center"/>
              <w:ind w:right="20"/>
              <w:spacing w:after="0"/>
              <w:rPr>
                <w:sz w:val="20"/>
                <w:szCs w:val="20"/>
                <w:color w:val="auto"/>
              </w:rPr>
            </w:pPr>
            <w:r>
              <w:rPr>
                <w:rFonts w:ascii="Arial" w:cs="Arial" w:eastAsia="Arial" w:hAnsi="Arial"/>
                <w:sz w:val="14"/>
                <w:szCs w:val="14"/>
                <w:color w:val="auto"/>
                <w:w w:val="93"/>
              </w:rPr>
              <w:t>Value of</w:t>
            </w:r>
          </w:p>
        </w:tc>
      </w:tr>
      <w:tr>
        <w:trPr>
          <w:trHeight w:val="146"/>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tcPr>
          <w:p>
            <w:pPr>
              <w:jc w:val="center"/>
              <w:ind w:right="440"/>
              <w:spacing w:after="0" w:line="146" w:lineRule="exact"/>
              <w:rPr>
                <w:sz w:val="20"/>
                <w:szCs w:val="20"/>
                <w:color w:val="auto"/>
              </w:rPr>
            </w:pPr>
            <w:r>
              <w:rPr>
                <w:rFonts w:ascii="Arial" w:cs="Arial" w:eastAsia="Arial" w:hAnsi="Arial"/>
                <w:sz w:val="14"/>
                <w:szCs w:val="14"/>
                <w:color w:val="auto"/>
                <w:w w:val="85"/>
              </w:rPr>
              <w:t>Shares</w:t>
            </w: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340" w:type="dxa"/>
            <w:vAlign w:val="bottom"/>
            <w:gridSpan w:val="4"/>
          </w:tcPr>
          <w:p>
            <w:pPr>
              <w:jc w:val="center"/>
              <w:ind w:right="440"/>
              <w:spacing w:after="0" w:line="146" w:lineRule="exact"/>
              <w:rPr>
                <w:sz w:val="20"/>
                <w:szCs w:val="20"/>
                <w:color w:val="auto"/>
              </w:rPr>
            </w:pPr>
            <w:r>
              <w:rPr>
                <w:rFonts w:ascii="Arial" w:cs="Arial" w:eastAsia="Arial" w:hAnsi="Arial"/>
                <w:sz w:val="14"/>
                <w:szCs w:val="14"/>
                <w:color w:val="auto"/>
                <w:w w:val="90"/>
              </w:rPr>
              <w:t>Unexercised Options</w:t>
            </w:r>
          </w:p>
        </w:tc>
        <w:tc>
          <w:tcPr>
            <w:tcW w:w="2060" w:type="dxa"/>
            <w:vAlign w:val="bottom"/>
            <w:gridSpan w:val="4"/>
          </w:tcPr>
          <w:p>
            <w:pPr>
              <w:jc w:val="center"/>
              <w:ind w:right="40"/>
              <w:spacing w:after="0" w:line="146" w:lineRule="exact"/>
              <w:rPr>
                <w:sz w:val="20"/>
                <w:szCs w:val="20"/>
                <w:color w:val="auto"/>
              </w:rPr>
            </w:pPr>
            <w:r>
              <w:rPr>
                <w:rFonts w:ascii="Arial" w:cs="Arial" w:eastAsia="Arial" w:hAnsi="Arial"/>
                <w:sz w:val="14"/>
                <w:szCs w:val="14"/>
                <w:color w:val="auto"/>
                <w:w w:val="90"/>
              </w:rPr>
              <w:t>Unexercised Options</w:t>
            </w:r>
          </w:p>
        </w:tc>
      </w:tr>
      <w:tr>
        <w:trPr>
          <w:trHeight w:val="164"/>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color w:val="auto"/>
                <w:w w:val="92"/>
              </w:rPr>
              <w:t>Acquired On</w:t>
            </w: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color w:val="auto"/>
                <w:w w:val="89"/>
              </w:rPr>
              <w:t>Value</w:t>
            </w:r>
          </w:p>
        </w:tc>
        <w:tc>
          <w:tcPr>
            <w:tcW w:w="2340" w:type="dxa"/>
            <w:vAlign w:val="bottom"/>
            <w:gridSpan w:val="4"/>
          </w:tcPr>
          <w:p>
            <w:pPr>
              <w:jc w:val="center"/>
              <w:ind w:right="420"/>
              <w:spacing w:after="0"/>
              <w:rPr>
                <w:sz w:val="20"/>
                <w:szCs w:val="20"/>
                <w:color w:val="auto"/>
              </w:rPr>
            </w:pPr>
            <w:r>
              <w:rPr>
                <w:rFonts w:ascii="Arial" w:cs="Arial" w:eastAsia="Arial" w:hAnsi="Arial"/>
                <w:sz w:val="14"/>
                <w:szCs w:val="14"/>
                <w:color w:val="auto"/>
                <w:w w:val="89"/>
              </w:rPr>
              <w:t>at December 31, 2004</w:t>
            </w:r>
          </w:p>
        </w:tc>
        <w:tc>
          <w:tcPr>
            <w:tcW w:w="2060" w:type="dxa"/>
            <w:vAlign w:val="bottom"/>
            <w:gridSpan w:val="4"/>
          </w:tcPr>
          <w:p>
            <w:pPr>
              <w:jc w:val="center"/>
              <w:ind w:right="20"/>
              <w:spacing w:after="0"/>
              <w:rPr>
                <w:sz w:val="20"/>
                <w:szCs w:val="20"/>
                <w:color w:val="auto"/>
              </w:rPr>
            </w:pPr>
            <w:r>
              <w:rPr>
                <w:rFonts w:ascii="Arial" w:cs="Arial" w:eastAsia="Arial" w:hAnsi="Arial"/>
                <w:sz w:val="14"/>
                <w:szCs w:val="14"/>
                <w:color w:val="auto"/>
                <w:w w:val="89"/>
              </w:rPr>
              <w:t>at December 31, 2004</w:t>
            </w:r>
          </w:p>
        </w:tc>
      </w:tr>
      <w:tr>
        <w:trPr>
          <w:trHeight w:val="139"/>
        </w:trPr>
        <w:tc>
          <w:tcPr>
            <w:tcW w:w="4360" w:type="dxa"/>
            <w:vAlign w:val="bottom"/>
            <w:gridSpan w:val="2"/>
          </w:tcPr>
          <w:p>
            <w:pPr>
              <w:spacing w:after="0" w:line="139" w:lineRule="exact"/>
              <w:rPr>
                <w:sz w:val="20"/>
                <w:szCs w:val="20"/>
                <w:color w:val="auto"/>
              </w:rPr>
            </w:pPr>
            <w:r>
              <w:rPr>
                <w:rFonts w:ascii="Arial" w:cs="Arial" w:eastAsia="Arial" w:hAnsi="Arial"/>
                <w:sz w:val="14"/>
                <w:szCs w:val="14"/>
                <w:color w:val="auto"/>
              </w:rPr>
              <w:t>Executive Officers</w:t>
            </w:r>
          </w:p>
        </w:tc>
        <w:tc>
          <w:tcPr>
            <w:tcW w:w="320" w:type="dxa"/>
            <w:vAlign w:val="bottom"/>
          </w:tcPr>
          <w:p>
            <w:pPr>
              <w:spacing w:after="0"/>
              <w:rPr>
                <w:sz w:val="12"/>
                <w:szCs w:val="12"/>
                <w:color w:val="auto"/>
              </w:rPr>
            </w:pPr>
          </w:p>
        </w:tc>
        <w:tc>
          <w:tcPr>
            <w:tcW w:w="1140" w:type="dxa"/>
            <w:vAlign w:val="bottom"/>
            <w:gridSpan w:val="2"/>
          </w:tcPr>
          <w:p>
            <w:pPr>
              <w:jc w:val="center"/>
              <w:ind w:right="420"/>
              <w:spacing w:after="0" w:line="139" w:lineRule="exact"/>
              <w:rPr>
                <w:sz w:val="20"/>
                <w:szCs w:val="20"/>
                <w:color w:val="auto"/>
              </w:rPr>
            </w:pPr>
            <w:r>
              <w:rPr>
                <w:rFonts w:ascii="Arial" w:cs="Arial" w:eastAsia="Arial" w:hAnsi="Arial"/>
                <w:sz w:val="14"/>
                <w:szCs w:val="14"/>
                <w:color w:val="auto"/>
                <w:w w:val="89"/>
              </w:rPr>
              <w:t>Exercise</w:t>
            </w:r>
          </w:p>
        </w:tc>
        <w:tc>
          <w:tcPr>
            <w:tcW w:w="1120" w:type="dxa"/>
            <w:vAlign w:val="bottom"/>
            <w:gridSpan w:val="2"/>
          </w:tcPr>
          <w:p>
            <w:pPr>
              <w:jc w:val="center"/>
              <w:ind w:right="420"/>
              <w:spacing w:after="0" w:line="139" w:lineRule="exact"/>
              <w:rPr>
                <w:sz w:val="20"/>
                <w:szCs w:val="20"/>
                <w:color w:val="auto"/>
              </w:rPr>
            </w:pPr>
            <w:r>
              <w:rPr>
                <w:rFonts w:ascii="Arial" w:cs="Arial" w:eastAsia="Arial" w:hAnsi="Arial"/>
                <w:sz w:val="14"/>
                <w:szCs w:val="14"/>
                <w:color w:val="auto"/>
                <w:w w:val="91"/>
              </w:rPr>
              <w:t>Realized</w:t>
            </w:r>
          </w:p>
        </w:tc>
        <w:tc>
          <w:tcPr>
            <w:tcW w:w="1120" w:type="dxa"/>
            <w:vAlign w:val="bottom"/>
            <w:tcBorders>
              <w:top w:val="single" w:sz="8" w:color="auto"/>
            </w:tcBorders>
            <w:gridSpan w:val="2"/>
          </w:tcPr>
          <w:p>
            <w:pPr>
              <w:jc w:val="right"/>
              <w:ind w:right="440"/>
              <w:spacing w:after="0" w:line="139" w:lineRule="exact"/>
              <w:rPr>
                <w:sz w:val="20"/>
                <w:szCs w:val="20"/>
                <w:color w:val="auto"/>
              </w:rPr>
            </w:pPr>
            <w:r>
              <w:rPr>
                <w:rFonts w:ascii="Arial" w:cs="Arial" w:eastAsia="Arial" w:hAnsi="Arial"/>
                <w:sz w:val="14"/>
                <w:szCs w:val="14"/>
                <w:color w:val="auto"/>
                <w:w w:val="91"/>
              </w:rPr>
              <w:t>Exercisable</w:t>
            </w:r>
          </w:p>
        </w:tc>
        <w:tc>
          <w:tcPr>
            <w:tcW w:w="780" w:type="dxa"/>
            <w:vAlign w:val="bottom"/>
            <w:tcBorders>
              <w:top w:val="single" w:sz="8" w:color="auto"/>
            </w:tcBorders>
          </w:tcPr>
          <w:p>
            <w:pPr>
              <w:spacing w:after="0" w:line="139" w:lineRule="exact"/>
              <w:rPr>
                <w:sz w:val="20"/>
                <w:szCs w:val="20"/>
                <w:color w:val="auto"/>
              </w:rPr>
            </w:pPr>
            <w:r>
              <w:rPr>
                <w:rFonts w:ascii="Arial" w:cs="Arial" w:eastAsia="Arial" w:hAnsi="Arial"/>
                <w:sz w:val="14"/>
                <w:szCs w:val="14"/>
                <w:color w:val="auto"/>
                <w:w w:val="85"/>
              </w:rPr>
              <w:t>Unexercisable</w:t>
            </w:r>
          </w:p>
        </w:tc>
        <w:tc>
          <w:tcPr>
            <w:tcW w:w="440" w:type="dxa"/>
            <w:vAlign w:val="bottom"/>
          </w:tcPr>
          <w:p>
            <w:pPr>
              <w:spacing w:after="0"/>
              <w:rPr>
                <w:sz w:val="12"/>
                <w:szCs w:val="12"/>
                <w:color w:val="auto"/>
              </w:rPr>
            </w:pPr>
          </w:p>
        </w:tc>
        <w:tc>
          <w:tcPr>
            <w:tcW w:w="1240" w:type="dxa"/>
            <w:vAlign w:val="bottom"/>
            <w:tcBorders>
              <w:top w:val="single" w:sz="8" w:color="auto"/>
            </w:tcBorders>
            <w:gridSpan w:val="2"/>
          </w:tcPr>
          <w:p>
            <w:pPr>
              <w:ind w:left="80"/>
              <w:spacing w:after="0" w:line="139" w:lineRule="exact"/>
              <w:rPr>
                <w:sz w:val="20"/>
                <w:szCs w:val="20"/>
                <w:color w:val="auto"/>
              </w:rPr>
            </w:pPr>
            <w:r>
              <w:rPr>
                <w:rFonts w:ascii="Arial" w:cs="Arial" w:eastAsia="Arial" w:hAnsi="Arial"/>
                <w:sz w:val="14"/>
                <w:szCs w:val="14"/>
                <w:color w:val="auto"/>
              </w:rPr>
              <w:t>Exercisable</w:t>
            </w:r>
          </w:p>
        </w:tc>
        <w:tc>
          <w:tcPr>
            <w:tcW w:w="80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4"/>
                <w:szCs w:val="14"/>
                <w:color w:val="auto"/>
                <w:w w:val="87"/>
              </w:rPr>
              <w:t>Unexercisable</w:t>
            </w:r>
          </w:p>
        </w:tc>
        <w:tc>
          <w:tcPr>
            <w:tcW w:w="20" w:type="dxa"/>
            <w:vAlign w:val="bottom"/>
          </w:tcPr>
          <w:p>
            <w:pPr>
              <w:spacing w:after="0"/>
              <w:rPr>
                <w:sz w:val="12"/>
                <w:szCs w:val="12"/>
                <w:color w:val="auto"/>
              </w:rPr>
            </w:pPr>
          </w:p>
        </w:tc>
      </w:tr>
      <w:tr>
        <w:trPr>
          <w:trHeight w:val="193"/>
        </w:trPr>
        <w:tc>
          <w:tcPr>
            <w:tcW w:w="20" w:type="dxa"/>
            <w:vAlign w:val="bottom"/>
          </w:tcPr>
          <w:p>
            <w:pPr>
              <w:spacing w:after="0"/>
              <w:rPr>
                <w:sz w:val="16"/>
                <w:szCs w:val="16"/>
                <w:color w:val="auto"/>
              </w:rPr>
            </w:pPr>
          </w:p>
        </w:tc>
        <w:tc>
          <w:tcPr>
            <w:tcW w:w="4340" w:type="dxa"/>
            <w:vAlign w:val="bottom"/>
            <w:tcBorders>
              <w:top w:val="single" w:sz="8" w:color="auto"/>
            </w:tcBorders>
          </w:tcPr>
          <w:p>
            <w:pPr>
              <w:spacing w:after="0" w:line="193" w:lineRule="exact"/>
              <w:rPr>
                <w:sz w:val="20"/>
                <w:szCs w:val="20"/>
                <w:color w:val="auto"/>
              </w:rPr>
            </w:pPr>
            <w:r>
              <w:rPr>
                <w:rFonts w:ascii="Arial" w:cs="Arial" w:eastAsia="Arial" w:hAnsi="Arial"/>
                <w:sz w:val="18"/>
                <w:szCs w:val="18"/>
                <w:color w:val="auto"/>
              </w:rPr>
              <w:t>Jimmy C. Tallent</w:t>
            </w:r>
          </w:p>
        </w:tc>
        <w:tc>
          <w:tcPr>
            <w:tcW w:w="320" w:type="dxa"/>
            <w:vAlign w:val="bottom"/>
          </w:tcPr>
          <w:p>
            <w:pPr>
              <w:spacing w:after="0"/>
              <w:rPr>
                <w:sz w:val="16"/>
                <w:szCs w:val="16"/>
                <w:color w:val="auto"/>
              </w:rPr>
            </w:pPr>
          </w:p>
        </w:tc>
        <w:tc>
          <w:tcPr>
            <w:tcW w:w="72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rPr>
              <w:t>23,750</w:t>
            </w:r>
          </w:p>
        </w:tc>
        <w:tc>
          <w:tcPr>
            <w:tcW w:w="420" w:type="dxa"/>
            <w:vAlign w:val="bottom"/>
          </w:tcPr>
          <w:p>
            <w:pPr>
              <w:spacing w:after="0"/>
              <w:rPr>
                <w:sz w:val="16"/>
                <w:szCs w:val="16"/>
                <w:color w:val="auto"/>
              </w:rPr>
            </w:pPr>
          </w:p>
        </w:tc>
        <w:tc>
          <w:tcPr>
            <w:tcW w:w="70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w w:val="84"/>
              </w:rPr>
              <w:t>$ 534,075</w:t>
            </w:r>
          </w:p>
        </w:tc>
        <w:tc>
          <w:tcPr>
            <w:tcW w:w="420" w:type="dxa"/>
            <w:vAlign w:val="bottom"/>
          </w:tcPr>
          <w:p>
            <w:pPr>
              <w:spacing w:after="0"/>
              <w:rPr>
                <w:sz w:val="16"/>
                <w:szCs w:val="16"/>
                <w:color w:val="auto"/>
              </w:rPr>
            </w:pPr>
          </w:p>
        </w:tc>
        <w:tc>
          <w:tcPr>
            <w:tcW w:w="68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rPr>
              <w:t>208,000</w:t>
            </w:r>
          </w:p>
        </w:tc>
        <w:tc>
          <w:tcPr>
            <w:tcW w:w="440" w:type="dxa"/>
            <w:vAlign w:val="bottom"/>
          </w:tcPr>
          <w:p>
            <w:pPr>
              <w:spacing w:after="0"/>
              <w:rPr>
                <w:sz w:val="16"/>
                <w:szCs w:val="16"/>
                <w:color w:val="auto"/>
              </w:rPr>
            </w:pPr>
          </w:p>
        </w:tc>
        <w:tc>
          <w:tcPr>
            <w:tcW w:w="780" w:type="dxa"/>
            <w:vAlign w:val="bottom"/>
            <w:tcBorders>
              <w:top w:val="single" w:sz="8" w:color="auto"/>
            </w:tcBorders>
          </w:tcPr>
          <w:p>
            <w:pPr>
              <w:ind w:left="300"/>
              <w:spacing w:after="0" w:line="193" w:lineRule="exact"/>
              <w:rPr>
                <w:sz w:val="20"/>
                <w:szCs w:val="20"/>
                <w:color w:val="auto"/>
              </w:rPr>
            </w:pPr>
            <w:r>
              <w:rPr>
                <w:rFonts w:ascii="Arial" w:cs="Arial" w:eastAsia="Arial" w:hAnsi="Arial"/>
                <w:sz w:val="18"/>
                <w:szCs w:val="18"/>
                <w:color w:val="auto"/>
                <w:w w:val="83"/>
              </w:rPr>
              <w:t>83,750</w:t>
            </w:r>
          </w:p>
        </w:tc>
        <w:tc>
          <w:tcPr>
            <w:tcW w:w="440" w:type="dxa"/>
            <w:vAlign w:val="bottom"/>
          </w:tcPr>
          <w:p>
            <w:pPr>
              <w:spacing w:after="0"/>
              <w:rPr>
                <w:sz w:val="16"/>
                <w:szCs w:val="16"/>
                <w:color w:val="auto"/>
              </w:rPr>
            </w:pPr>
          </w:p>
        </w:tc>
        <w:tc>
          <w:tcPr>
            <w:tcW w:w="82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w w:val="84"/>
              </w:rPr>
              <w:t>$ 3,208,100</w:t>
            </w:r>
          </w:p>
        </w:tc>
        <w:tc>
          <w:tcPr>
            <w:tcW w:w="420" w:type="dxa"/>
            <w:vAlign w:val="bottom"/>
          </w:tcPr>
          <w:p>
            <w:pPr>
              <w:spacing w:after="0"/>
              <w:rPr>
                <w:sz w:val="16"/>
                <w:szCs w:val="16"/>
                <w:color w:val="auto"/>
              </w:rPr>
            </w:pPr>
          </w:p>
        </w:tc>
        <w:tc>
          <w:tcPr>
            <w:tcW w:w="80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w w:val="91"/>
              </w:rPr>
              <w:t>$  881,600</w:t>
            </w:r>
          </w:p>
        </w:tc>
        <w:tc>
          <w:tcPr>
            <w:tcW w:w="20" w:type="dxa"/>
            <w:vAlign w:val="bottom"/>
          </w:tcPr>
          <w:p>
            <w:pPr>
              <w:spacing w:after="0"/>
              <w:rPr>
                <w:sz w:val="16"/>
                <w:szCs w:val="16"/>
                <w:color w:val="auto"/>
              </w:rPr>
            </w:pPr>
          </w:p>
        </w:tc>
      </w:tr>
      <w:tr>
        <w:trPr>
          <w:trHeight w:val="212"/>
        </w:trPr>
        <w:tc>
          <w:tcPr>
            <w:tcW w:w="4360" w:type="dxa"/>
            <w:vAlign w:val="bottom"/>
            <w:gridSpan w:val="2"/>
          </w:tcPr>
          <w:p>
            <w:pPr>
              <w:spacing w:after="0"/>
              <w:rPr>
                <w:sz w:val="20"/>
                <w:szCs w:val="20"/>
                <w:color w:val="auto"/>
              </w:rPr>
            </w:pPr>
            <w:r>
              <w:rPr>
                <w:rFonts w:ascii="Arial" w:cs="Arial" w:eastAsia="Arial" w:hAnsi="Arial"/>
                <w:sz w:val="18"/>
                <w:szCs w:val="18"/>
                <w:color w:val="auto"/>
              </w:rPr>
              <w:t>Guy W. Freeman</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22,110</w:t>
            </w:r>
          </w:p>
        </w:tc>
        <w:tc>
          <w:tcPr>
            <w:tcW w:w="42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381,560</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53,189</w:t>
            </w:r>
          </w:p>
        </w:tc>
        <w:tc>
          <w:tcPr>
            <w:tcW w:w="1220" w:type="dxa"/>
            <w:vAlign w:val="bottom"/>
            <w:gridSpan w:val="2"/>
          </w:tcPr>
          <w:p>
            <w:pPr>
              <w:ind w:left="300"/>
              <w:spacing w:after="0"/>
              <w:rPr>
                <w:sz w:val="20"/>
                <w:szCs w:val="20"/>
                <w:color w:val="auto"/>
              </w:rPr>
            </w:pPr>
            <w:r>
              <w:rPr>
                <w:rFonts w:ascii="Arial" w:cs="Arial" w:eastAsia="Arial" w:hAnsi="Arial"/>
                <w:sz w:val="18"/>
                <w:szCs w:val="18"/>
                <w:color w:val="auto"/>
              </w:rPr>
              <w:t>45,701</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739,100</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457,700</w:t>
            </w:r>
          </w:p>
        </w:tc>
      </w:tr>
      <w:tr>
        <w:trPr>
          <w:trHeight w:val="212"/>
        </w:trPr>
        <w:tc>
          <w:tcPr>
            <w:tcW w:w="4360" w:type="dxa"/>
            <w:vAlign w:val="bottom"/>
            <w:gridSpan w:val="2"/>
          </w:tcPr>
          <w:p>
            <w:pPr>
              <w:spacing w:after="0"/>
              <w:rPr>
                <w:sz w:val="20"/>
                <w:szCs w:val="20"/>
                <w:color w:val="auto"/>
              </w:rPr>
            </w:pPr>
            <w:r>
              <w:rPr>
                <w:rFonts w:ascii="Arial" w:cs="Arial" w:eastAsia="Arial" w:hAnsi="Arial"/>
                <w:sz w:val="18"/>
                <w:szCs w:val="18"/>
                <w:color w:val="auto"/>
              </w:rPr>
              <w:t>Rex S. Schuette</w:t>
            </w:r>
          </w:p>
        </w:tc>
        <w:tc>
          <w:tcPr>
            <w:tcW w:w="32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63,150</w:t>
            </w:r>
          </w:p>
        </w:tc>
        <w:tc>
          <w:tcPr>
            <w:tcW w:w="1220" w:type="dxa"/>
            <w:vAlign w:val="bottom"/>
            <w:gridSpan w:val="2"/>
          </w:tcPr>
          <w:p>
            <w:pPr>
              <w:ind w:left="300"/>
              <w:spacing w:after="0"/>
              <w:rPr>
                <w:sz w:val="20"/>
                <w:szCs w:val="20"/>
                <w:color w:val="auto"/>
              </w:rPr>
            </w:pPr>
            <w:r>
              <w:rPr>
                <w:rFonts w:ascii="Arial" w:cs="Arial" w:eastAsia="Arial" w:hAnsi="Arial"/>
                <w:sz w:val="18"/>
                <w:szCs w:val="18"/>
                <w:color w:val="auto"/>
              </w:rPr>
              <w:t>49,351</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912,800</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536,100</w:t>
            </w:r>
          </w:p>
        </w:tc>
      </w:tr>
      <w:tr>
        <w:trPr>
          <w:trHeight w:val="212"/>
        </w:trPr>
        <w:tc>
          <w:tcPr>
            <w:tcW w:w="4360" w:type="dxa"/>
            <w:vAlign w:val="bottom"/>
            <w:gridSpan w:val="2"/>
          </w:tcPr>
          <w:p>
            <w:pPr>
              <w:spacing w:after="0"/>
              <w:rPr>
                <w:sz w:val="20"/>
                <w:szCs w:val="20"/>
                <w:color w:val="auto"/>
              </w:rPr>
            </w:pPr>
            <w:r>
              <w:rPr>
                <w:rFonts w:ascii="Arial" w:cs="Arial" w:eastAsia="Arial" w:hAnsi="Arial"/>
                <w:sz w:val="18"/>
                <w:szCs w:val="18"/>
                <w:color w:val="auto"/>
              </w:rPr>
              <w:t>Thomas C. Gilliland</w:t>
            </w:r>
          </w:p>
        </w:tc>
        <w:tc>
          <w:tcPr>
            <w:tcW w:w="1460" w:type="dxa"/>
            <w:vAlign w:val="bottom"/>
            <w:gridSpan w:val="3"/>
          </w:tcPr>
          <w:p>
            <w:pPr>
              <w:jc w:val="right"/>
              <w:ind w:right="420"/>
              <w:spacing w:after="0"/>
              <w:rPr>
                <w:sz w:val="20"/>
                <w:szCs w:val="20"/>
                <w:color w:val="auto"/>
              </w:rPr>
            </w:pPr>
            <w:r>
              <w:rPr>
                <w:rFonts w:ascii="Arial" w:cs="Arial" w:eastAsia="Arial" w:hAnsi="Arial"/>
                <w:sz w:val="18"/>
                <w:szCs w:val="18"/>
                <w:color w:val="auto"/>
              </w:rPr>
              <w:t>31,500</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629,213</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67,425</w:t>
            </w:r>
          </w:p>
        </w:tc>
        <w:tc>
          <w:tcPr>
            <w:tcW w:w="1220" w:type="dxa"/>
            <w:vAlign w:val="bottom"/>
            <w:gridSpan w:val="2"/>
          </w:tcPr>
          <w:p>
            <w:pPr>
              <w:ind w:left="300"/>
              <w:spacing w:after="0"/>
              <w:rPr>
                <w:sz w:val="20"/>
                <w:szCs w:val="20"/>
                <w:color w:val="auto"/>
              </w:rPr>
            </w:pPr>
            <w:r>
              <w:rPr>
                <w:rFonts w:ascii="Arial" w:cs="Arial" w:eastAsia="Arial" w:hAnsi="Arial"/>
                <w:sz w:val="18"/>
                <w:szCs w:val="18"/>
                <w:color w:val="auto"/>
              </w:rPr>
              <w:t>40,826</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937,100</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417,400</w:t>
            </w:r>
          </w:p>
        </w:tc>
      </w:tr>
      <w:tr>
        <w:trPr>
          <w:trHeight w:val="223"/>
        </w:trPr>
        <w:tc>
          <w:tcPr>
            <w:tcW w:w="4360" w:type="dxa"/>
            <w:vAlign w:val="bottom"/>
            <w:gridSpan w:val="2"/>
          </w:tcPr>
          <w:p>
            <w:pPr>
              <w:spacing w:after="0"/>
              <w:rPr>
                <w:sz w:val="20"/>
                <w:szCs w:val="20"/>
                <w:color w:val="auto"/>
              </w:rPr>
            </w:pPr>
            <w:r>
              <w:rPr>
                <w:rFonts w:ascii="Arial" w:cs="Arial" w:eastAsia="Arial" w:hAnsi="Arial"/>
                <w:sz w:val="18"/>
                <w:szCs w:val="18"/>
                <w:color w:val="auto"/>
              </w:rPr>
              <w:t>Ray K. Williams</w:t>
            </w:r>
          </w:p>
        </w:tc>
        <w:tc>
          <w:tcPr>
            <w:tcW w:w="320" w:type="dxa"/>
            <w:vAlign w:val="bottom"/>
          </w:tcPr>
          <w:p>
            <w:pPr>
              <w:spacing w:after="0"/>
              <w:rPr>
                <w:sz w:val="19"/>
                <w:szCs w:val="19"/>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12,751</w:t>
            </w:r>
          </w:p>
        </w:tc>
        <w:tc>
          <w:tcPr>
            <w:tcW w:w="1220" w:type="dxa"/>
            <w:vAlign w:val="bottom"/>
            <w:gridSpan w:val="2"/>
          </w:tcPr>
          <w:p>
            <w:pPr>
              <w:ind w:left="300"/>
              <w:spacing w:after="0"/>
              <w:rPr>
                <w:sz w:val="20"/>
                <w:szCs w:val="20"/>
                <w:color w:val="auto"/>
              </w:rPr>
            </w:pPr>
            <w:r>
              <w:rPr>
                <w:rFonts w:ascii="Arial" w:cs="Arial" w:eastAsia="Arial" w:hAnsi="Arial"/>
                <w:sz w:val="18"/>
                <w:szCs w:val="18"/>
                <w:color w:val="auto"/>
              </w:rPr>
              <w:t>22,250</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164,900</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218,100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135255</wp:posOffset>
            </wp:positionV>
            <wp:extent cx="13220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22070" cy="8255"/>
                    </a:xfrm>
                    <a:prstGeom prst="rect">
                      <a:avLst/>
                    </a:prstGeom>
                    <a:noFill/>
                  </pic:spPr>
                </pic:pic>
              </a:graphicData>
            </a:graphic>
          </wp:anchor>
        </w:drawing>
      </w:r>
    </w:p>
    <w:p>
      <w:pPr>
        <w:spacing w:after="0" w:line="300" w:lineRule="exact"/>
        <w:rPr>
          <w:sz w:val="20"/>
          <w:szCs w:val="20"/>
          <w:color w:val="auto"/>
        </w:rPr>
      </w:pPr>
    </w:p>
    <w:p>
      <w:pPr>
        <w:ind w:left="520" w:hanging="514"/>
        <w:spacing w:after="0"/>
        <w:tabs>
          <w:tab w:leader="none" w:pos="520" w:val="left"/>
        </w:tabs>
        <w:numPr>
          <w:ilvl w:val="0"/>
          <w:numId w:val="14"/>
        </w:numPr>
        <w:rPr>
          <w:rFonts w:ascii="Arial" w:cs="Arial" w:eastAsia="Arial" w:hAnsi="Arial"/>
          <w:sz w:val="15"/>
          <w:szCs w:val="15"/>
          <w:color w:val="auto"/>
        </w:rPr>
      </w:pPr>
      <w:r>
        <w:rPr>
          <w:rFonts w:ascii="Arial" w:cs="Arial" w:eastAsia="Arial" w:hAnsi="Arial"/>
          <w:sz w:val="18"/>
          <w:szCs w:val="18"/>
          <w:color w:val="auto"/>
        </w:rPr>
        <w:t>Value of “in the money” options was based on $26.93 per share, the closing market price on December 31, 2004.</w:t>
      </w:r>
    </w:p>
    <w:p>
      <w:pPr>
        <w:spacing w:after="0" w:line="171" w:lineRule="exact"/>
        <w:rPr>
          <w:rFonts w:ascii="Arial" w:cs="Arial" w:eastAsia="Arial" w:hAnsi="Arial"/>
          <w:sz w:val="15"/>
          <w:szCs w:val="15"/>
          <w:color w:val="auto"/>
        </w:rPr>
      </w:pPr>
    </w:p>
    <w:p>
      <w:pPr>
        <w:ind w:left="3380"/>
        <w:spacing w:after="0"/>
        <w:rPr>
          <w:rFonts w:ascii="Arial" w:cs="Arial" w:eastAsia="Arial" w:hAnsi="Arial"/>
          <w:sz w:val="15"/>
          <w:szCs w:val="15"/>
          <w:color w:val="auto"/>
        </w:rPr>
      </w:pPr>
      <w:r>
        <w:rPr>
          <w:rFonts w:ascii="Arial" w:cs="Arial" w:eastAsia="Arial" w:hAnsi="Arial"/>
          <w:sz w:val="18"/>
          <w:szCs w:val="18"/>
          <w:b w:val="1"/>
          <w:bCs w:val="1"/>
          <w:color w:val="auto"/>
        </w:rPr>
        <w:t>Equity Compensation Plan Information at December 31, 2004</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 provides information about options outstanding as of December 31, 2004 and options available to be granted in future years: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105"/>
              <w:spacing w:after="0"/>
              <w:rPr>
                <w:sz w:val="20"/>
                <w:szCs w:val="20"/>
                <w:color w:val="auto"/>
              </w:rPr>
            </w:pPr>
            <w:r>
              <w:rPr>
                <w:rFonts w:ascii="Arial" w:cs="Arial" w:eastAsia="Arial" w:hAnsi="Arial"/>
                <w:sz w:val="14"/>
                <w:szCs w:val="14"/>
                <w:color w:val="auto"/>
                <w:w w:val="93"/>
              </w:rPr>
              <w:t>Number of Securities</w:t>
            </w:r>
          </w:p>
        </w:tc>
      </w:tr>
      <w:tr>
        <w:trPr>
          <w:trHeight w:val="146"/>
        </w:trPr>
        <w:tc>
          <w:tcPr>
            <w:tcW w:w="6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125"/>
              <w:spacing w:after="0" w:line="146" w:lineRule="exact"/>
              <w:rPr>
                <w:sz w:val="20"/>
                <w:szCs w:val="20"/>
                <w:color w:val="auto"/>
              </w:rPr>
            </w:pPr>
            <w:r>
              <w:rPr>
                <w:rFonts w:ascii="Arial" w:cs="Arial" w:eastAsia="Arial" w:hAnsi="Arial"/>
                <w:sz w:val="14"/>
                <w:szCs w:val="14"/>
                <w:color w:val="auto"/>
                <w:w w:val="94"/>
              </w:rPr>
              <w:t>Remaining Available</w:t>
            </w:r>
          </w:p>
        </w:tc>
      </w:tr>
      <w:tr>
        <w:trPr>
          <w:trHeight w:val="146"/>
        </w:trPr>
        <w:tc>
          <w:tcPr>
            <w:tcW w:w="6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125"/>
              <w:spacing w:after="0" w:line="146" w:lineRule="exact"/>
              <w:rPr>
                <w:sz w:val="20"/>
                <w:szCs w:val="20"/>
                <w:color w:val="auto"/>
              </w:rPr>
            </w:pPr>
            <w:r>
              <w:rPr>
                <w:rFonts w:ascii="Arial" w:cs="Arial" w:eastAsia="Arial" w:hAnsi="Arial"/>
                <w:sz w:val="14"/>
                <w:szCs w:val="14"/>
                <w:color w:val="auto"/>
                <w:w w:val="91"/>
              </w:rPr>
              <w:t>for Issuance Under</w:t>
            </w:r>
          </w:p>
        </w:tc>
      </w:tr>
      <w:tr>
        <w:trPr>
          <w:trHeight w:val="146"/>
        </w:trPr>
        <w:tc>
          <w:tcPr>
            <w:tcW w:w="6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3"/>
          </w:tcPr>
          <w:p>
            <w:pPr>
              <w:jc w:val="center"/>
              <w:ind w:right="180"/>
              <w:spacing w:after="0" w:line="146" w:lineRule="exact"/>
              <w:rPr>
                <w:sz w:val="20"/>
                <w:szCs w:val="20"/>
                <w:color w:val="auto"/>
              </w:rPr>
            </w:pPr>
            <w:r>
              <w:rPr>
                <w:rFonts w:ascii="Arial" w:cs="Arial" w:eastAsia="Arial" w:hAnsi="Arial"/>
                <w:sz w:val="14"/>
                <w:szCs w:val="14"/>
                <w:color w:val="auto"/>
                <w:w w:val="91"/>
              </w:rPr>
              <w:t>Weighted-Average</w:t>
            </w:r>
          </w:p>
        </w:tc>
        <w:tc>
          <w:tcPr>
            <w:tcW w:w="1600" w:type="dxa"/>
            <w:vAlign w:val="bottom"/>
            <w:gridSpan w:val="3"/>
          </w:tcPr>
          <w:p>
            <w:pPr>
              <w:jc w:val="center"/>
              <w:spacing w:after="0" w:line="146" w:lineRule="exact"/>
              <w:rPr>
                <w:sz w:val="20"/>
                <w:szCs w:val="20"/>
                <w:color w:val="auto"/>
              </w:rPr>
            </w:pPr>
            <w:r>
              <w:rPr>
                <w:rFonts w:ascii="Arial" w:cs="Arial" w:eastAsia="Arial" w:hAnsi="Arial"/>
                <w:sz w:val="14"/>
                <w:szCs w:val="14"/>
                <w:color w:val="auto"/>
                <w:w w:val="91"/>
              </w:rPr>
              <w:t>Equity Compensation</w:t>
            </w:r>
          </w:p>
        </w:tc>
      </w:tr>
      <w:tr>
        <w:trPr>
          <w:trHeight w:val="146"/>
        </w:trPr>
        <w:tc>
          <w:tcPr>
            <w:tcW w:w="6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3"/>
          </w:tcPr>
          <w:p>
            <w:pPr>
              <w:jc w:val="right"/>
              <w:ind w:right="600"/>
              <w:spacing w:after="0" w:line="146" w:lineRule="exact"/>
              <w:rPr>
                <w:sz w:val="20"/>
                <w:szCs w:val="20"/>
                <w:color w:val="auto"/>
              </w:rPr>
            </w:pPr>
            <w:r>
              <w:rPr>
                <w:rFonts w:ascii="Arial" w:cs="Arial" w:eastAsia="Arial" w:hAnsi="Arial"/>
                <w:sz w:val="14"/>
                <w:szCs w:val="14"/>
                <w:color w:val="auto"/>
              </w:rPr>
              <w:t>Number of</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280"/>
              <w:spacing w:after="0" w:line="146" w:lineRule="exact"/>
              <w:rPr>
                <w:sz w:val="20"/>
                <w:szCs w:val="20"/>
                <w:color w:val="auto"/>
              </w:rPr>
            </w:pPr>
            <w:r>
              <w:rPr>
                <w:rFonts w:ascii="Arial" w:cs="Arial" w:eastAsia="Arial" w:hAnsi="Arial"/>
                <w:sz w:val="14"/>
                <w:szCs w:val="14"/>
                <w:color w:val="auto"/>
                <w:w w:val="93"/>
              </w:rPr>
              <w:t>Exercise Price of</w:t>
            </w:r>
          </w:p>
        </w:tc>
        <w:tc>
          <w:tcPr>
            <w:tcW w:w="200" w:type="dxa"/>
            <w:vAlign w:val="bottom"/>
          </w:tcPr>
          <w:p>
            <w:pPr>
              <w:spacing w:after="0"/>
              <w:rPr>
                <w:sz w:val="12"/>
                <w:szCs w:val="12"/>
                <w:color w:val="auto"/>
              </w:rPr>
            </w:pPr>
          </w:p>
        </w:tc>
        <w:tc>
          <w:tcPr>
            <w:tcW w:w="1400" w:type="dxa"/>
            <w:vAlign w:val="bottom"/>
            <w:gridSpan w:val="2"/>
          </w:tcPr>
          <w:p>
            <w:pPr>
              <w:jc w:val="center"/>
              <w:ind w:right="105"/>
              <w:spacing w:after="0" w:line="146" w:lineRule="exact"/>
              <w:rPr>
                <w:sz w:val="20"/>
                <w:szCs w:val="20"/>
                <w:color w:val="auto"/>
              </w:rPr>
            </w:pPr>
            <w:r>
              <w:rPr>
                <w:rFonts w:ascii="Arial" w:cs="Arial" w:eastAsia="Arial" w:hAnsi="Arial"/>
                <w:sz w:val="14"/>
                <w:szCs w:val="14"/>
                <w:color w:val="auto"/>
                <w:w w:val="93"/>
              </w:rPr>
              <w:t>Plans (Excluding</w:t>
            </w:r>
          </w:p>
        </w:tc>
      </w:tr>
      <w:tr>
        <w:trPr>
          <w:trHeight w:val="164"/>
        </w:trPr>
        <w:tc>
          <w:tcPr>
            <w:tcW w:w="6560" w:type="dxa"/>
            <w:vAlign w:val="bottom"/>
          </w:tcPr>
          <w:p>
            <w:pPr>
              <w:spacing w:after="0"/>
              <w:rPr>
                <w:sz w:val="20"/>
                <w:szCs w:val="20"/>
                <w:color w:val="auto"/>
              </w:rPr>
            </w:pPr>
            <w:r>
              <w:rPr>
                <w:rFonts w:ascii="Arial" w:cs="Arial" w:eastAsia="Arial" w:hAnsi="Arial"/>
                <w:sz w:val="14"/>
                <w:szCs w:val="14"/>
                <w:color w:val="auto"/>
              </w:rPr>
              <w:t>Plan Category</w:t>
            </w:r>
          </w:p>
        </w:tc>
        <w:tc>
          <w:tcPr>
            <w:tcW w:w="280" w:type="dxa"/>
            <w:vAlign w:val="bottom"/>
          </w:tcPr>
          <w:p>
            <w:pPr>
              <w:spacing w:after="0"/>
              <w:rPr>
                <w:sz w:val="14"/>
                <w:szCs w:val="14"/>
                <w:color w:val="auto"/>
              </w:rPr>
            </w:pPr>
          </w:p>
        </w:tc>
        <w:tc>
          <w:tcPr>
            <w:tcW w:w="1480" w:type="dxa"/>
            <w:vAlign w:val="bottom"/>
            <w:gridSpan w:val="3"/>
          </w:tcPr>
          <w:p>
            <w:pPr>
              <w:jc w:val="right"/>
              <w:ind w:right="320"/>
              <w:spacing w:after="0"/>
              <w:rPr>
                <w:sz w:val="20"/>
                <w:szCs w:val="20"/>
                <w:color w:val="auto"/>
              </w:rPr>
            </w:pPr>
            <w:r>
              <w:rPr>
                <w:rFonts w:ascii="Arial" w:cs="Arial" w:eastAsia="Arial" w:hAnsi="Arial"/>
                <w:sz w:val="14"/>
                <w:szCs w:val="14"/>
                <w:color w:val="auto"/>
                <w:w w:val="89"/>
              </w:rPr>
              <w:t>Outstanding Options</w:t>
            </w:r>
          </w:p>
        </w:tc>
        <w:tc>
          <w:tcPr>
            <w:tcW w:w="1500" w:type="dxa"/>
            <w:vAlign w:val="bottom"/>
            <w:gridSpan w:val="4"/>
          </w:tcPr>
          <w:p>
            <w:pPr>
              <w:jc w:val="center"/>
              <w:ind w:right="40"/>
              <w:spacing w:after="0"/>
              <w:rPr>
                <w:sz w:val="20"/>
                <w:szCs w:val="20"/>
                <w:color w:val="auto"/>
              </w:rPr>
            </w:pPr>
            <w:r>
              <w:rPr>
                <w:rFonts w:ascii="Arial" w:cs="Arial" w:eastAsia="Arial" w:hAnsi="Arial"/>
                <w:sz w:val="14"/>
                <w:szCs w:val="14"/>
                <w:color w:val="auto"/>
                <w:w w:val="92"/>
              </w:rPr>
              <w:t>Outstanding Options</w:t>
            </w:r>
          </w:p>
        </w:tc>
        <w:tc>
          <w:tcPr>
            <w:tcW w:w="1600" w:type="dxa"/>
            <w:vAlign w:val="bottom"/>
            <w:gridSpan w:val="3"/>
          </w:tcPr>
          <w:p>
            <w:pPr>
              <w:jc w:val="center"/>
              <w:spacing w:after="0"/>
              <w:rPr>
                <w:sz w:val="20"/>
                <w:szCs w:val="20"/>
                <w:color w:val="auto"/>
              </w:rPr>
            </w:pPr>
            <w:r>
              <w:rPr>
                <w:rFonts w:ascii="Arial" w:cs="Arial" w:eastAsia="Arial" w:hAnsi="Arial"/>
                <w:sz w:val="14"/>
                <w:szCs w:val="14"/>
                <w:color w:val="auto"/>
                <w:w w:val="92"/>
              </w:rPr>
              <w:t>Options Outstanding)</w:t>
            </w:r>
          </w:p>
        </w:tc>
      </w:tr>
      <w:tr>
        <w:trPr>
          <w:trHeight w:val="193"/>
        </w:trPr>
        <w:tc>
          <w:tcPr>
            <w:tcW w:w="6560" w:type="dxa"/>
            <w:vAlign w:val="bottom"/>
            <w:tcBorders>
              <w:top w:val="single" w:sz="8" w:color="auto"/>
            </w:tcBorders>
          </w:tcPr>
          <w:p>
            <w:pPr>
              <w:spacing w:after="0" w:line="193" w:lineRule="exact"/>
              <w:rPr>
                <w:sz w:val="20"/>
                <w:szCs w:val="20"/>
                <w:color w:val="auto"/>
              </w:rPr>
            </w:pPr>
            <w:r>
              <w:rPr>
                <w:rFonts w:ascii="Arial" w:cs="Arial" w:eastAsia="Arial" w:hAnsi="Arial"/>
                <w:sz w:val="18"/>
                <w:szCs w:val="18"/>
                <w:color w:val="auto"/>
              </w:rPr>
              <w:t>Equity compensation plans approved by stockholders</w:t>
            </w:r>
          </w:p>
        </w:tc>
        <w:tc>
          <w:tcPr>
            <w:tcW w:w="280" w:type="dxa"/>
            <w:vAlign w:val="bottom"/>
          </w:tcPr>
          <w:p>
            <w:pPr>
              <w:spacing w:after="0"/>
              <w:rPr>
                <w:sz w:val="16"/>
                <w:szCs w:val="16"/>
                <w:color w:val="auto"/>
              </w:rPr>
            </w:pPr>
          </w:p>
        </w:tc>
        <w:tc>
          <w:tcPr>
            <w:tcW w:w="116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rPr>
              <w:t>1,919,170</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rPr>
              <w:t>15.01</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rPr>
              <w:t>1,511,154</w:t>
            </w:r>
          </w:p>
        </w:tc>
        <w:tc>
          <w:tcPr>
            <w:tcW w:w="180" w:type="dxa"/>
            <w:vAlign w:val="bottom"/>
          </w:tcPr>
          <w:p>
            <w:pPr>
              <w:jc w:val="right"/>
              <w:spacing w:after="0"/>
              <w:rPr>
                <w:sz w:val="20"/>
                <w:szCs w:val="20"/>
                <w:color w:val="auto"/>
              </w:rPr>
            </w:pPr>
            <w:r>
              <w:rPr>
                <w:rFonts w:ascii="Arial" w:cs="Arial" w:eastAsia="Arial" w:hAnsi="Arial"/>
                <w:sz w:val="15"/>
                <w:szCs w:val="15"/>
                <w:color w:val="auto"/>
                <w:w w:val="87"/>
              </w:rPr>
              <w:t>(1)</w:t>
            </w:r>
          </w:p>
        </w:tc>
      </w:tr>
      <w:tr>
        <w:trPr>
          <w:trHeight w:val="225"/>
        </w:trPr>
        <w:tc>
          <w:tcPr>
            <w:tcW w:w="6560" w:type="dxa"/>
            <w:vAlign w:val="bottom"/>
          </w:tcPr>
          <w:p>
            <w:pPr>
              <w:spacing w:after="0"/>
              <w:rPr>
                <w:sz w:val="20"/>
                <w:szCs w:val="20"/>
                <w:color w:val="auto"/>
              </w:rPr>
            </w:pPr>
            <w:r>
              <w:rPr>
                <w:rFonts w:ascii="Arial" w:cs="Arial" w:eastAsia="Arial" w:hAnsi="Arial"/>
                <w:sz w:val="18"/>
                <w:szCs w:val="18"/>
                <w:color w:val="auto"/>
              </w:rPr>
              <w:t>Equity compensation plans not approved by stockholders</w:t>
            </w:r>
          </w:p>
        </w:tc>
        <w:tc>
          <w:tcPr>
            <w:tcW w:w="280" w:type="dxa"/>
            <w:vAlign w:val="bottom"/>
          </w:tcPr>
          <w:p>
            <w:pPr>
              <w:spacing w:after="0"/>
              <w:rPr>
                <w:sz w:val="19"/>
                <w:szCs w:val="19"/>
                <w:color w:val="auto"/>
              </w:rPr>
            </w:pPr>
          </w:p>
        </w:tc>
        <w:tc>
          <w:tcPr>
            <w:tcW w:w="1480" w:type="dxa"/>
            <w:vAlign w:val="bottom"/>
            <w:gridSpan w:val="3"/>
          </w:tcPr>
          <w:p>
            <w:pPr>
              <w:jc w:val="right"/>
              <w:ind w:right="140"/>
              <w:spacing w:after="0"/>
              <w:rPr>
                <w:sz w:val="20"/>
                <w:szCs w:val="20"/>
                <w:color w:val="auto"/>
              </w:rPr>
            </w:pPr>
            <w:r>
              <w:rPr>
                <w:rFonts w:ascii="Arial" w:cs="Arial" w:eastAsia="Arial" w:hAnsi="Arial"/>
                <w:sz w:val="18"/>
                <w:szCs w:val="18"/>
                <w:color w:val="auto"/>
              </w:rPr>
              <w:t>199,496</w:t>
            </w:r>
            <w:r>
              <w:rPr>
                <w:rFonts w:ascii="Arial" w:cs="Arial" w:eastAsia="Arial" w:hAnsi="Arial"/>
                <w:sz w:val="15"/>
                <w:szCs w:val="15"/>
                <w:color w:val="auto"/>
              </w:rPr>
              <w:t>(2)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7.27</w:t>
            </w:r>
          </w:p>
        </w:tc>
        <w:tc>
          <w:tcPr>
            <w:tcW w:w="200" w:type="dxa"/>
            <w:vAlign w:val="bottom"/>
          </w:tcPr>
          <w:p>
            <w:pPr>
              <w:spacing w:after="0"/>
              <w:rPr>
                <w:sz w:val="19"/>
                <w:szCs w:val="19"/>
                <w:color w:val="auto"/>
              </w:rPr>
            </w:pPr>
          </w:p>
        </w:tc>
        <w:tc>
          <w:tcPr>
            <w:tcW w:w="14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r>
      <w:tr>
        <w:trPr>
          <w:trHeight w:val="218"/>
        </w:trPr>
        <w:tc>
          <w:tcPr>
            <w:tcW w:w="6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2,118,666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14.28</w:t>
            </w:r>
          </w:p>
        </w:tc>
        <w:tc>
          <w:tcPr>
            <w:tcW w:w="20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1,511,154</w:t>
            </w:r>
          </w:p>
        </w:tc>
        <w:tc>
          <w:tcPr>
            <w:tcW w:w="1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135255</wp:posOffset>
            </wp:positionV>
            <wp:extent cx="13220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22070" cy="8255"/>
                    </a:xfrm>
                    <a:prstGeom prst="rect">
                      <a:avLst/>
                    </a:prstGeom>
                    <a:noFill/>
                  </pic:spPr>
                </pic:pic>
              </a:graphicData>
            </a:graphic>
          </wp:anchor>
        </w:drawing>
      </w:r>
    </w:p>
    <w:p>
      <w:pPr>
        <w:spacing w:after="0" w:line="300" w:lineRule="exact"/>
        <w:rPr>
          <w:sz w:val="20"/>
          <w:szCs w:val="20"/>
          <w:color w:val="auto"/>
        </w:rPr>
      </w:pPr>
    </w:p>
    <w:p>
      <w:pPr>
        <w:ind w:left="520" w:hanging="514"/>
        <w:spacing w:after="0"/>
        <w:tabs>
          <w:tab w:leader="none" w:pos="520" w:val="left"/>
        </w:tabs>
        <w:numPr>
          <w:ilvl w:val="0"/>
          <w:numId w:val="15"/>
        </w:numPr>
        <w:rPr>
          <w:rFonts w:ascii="Arial" w:cs="Arial" w:eastAsia="Arial" w:hAnsi="Arial"/>
          <w:sz w:val="15"/>
          <w:szCs w:val="15"/>
          <w:color w:val="auto"/>
        </w:rPr>
      </w:pPr>
      <w:r>
        <w:rPr>
          <w:rFonts w:ascii="Arial" w:cs="Arial" w:eastAsia="Arial" w:hAnsi="Arial"/>
          <w:sz w:val="18"/>
          <w:szCs w:val="18"/>
          <w:color w:val="auto"/>
        </w:rPr>
        <w:t>This represents the number of current options available to be granted in future years under the 2000 Plan.</w:t>
      </w:r>
    </w:p>
    <w:p>
      <w:pPr>
        <w:spacing w:after="0" w:line="217" w:lineRule="exact"/>
        <w:rPr>
          <w:rFonts w:ascii="Arial" w:cs="Arial" w:eastAsia="Arial" w:hAnsi="Arial"/>
          <w:sz w:val="15"/>
          <w:szCs w:val="15"/>
          <w:color w:val="auto"/>
        </w:rPr>
      </w:pPr>
    </w:p>
    <w:p>
      <w:pPr>
        <w:ind w:left="520" w:hanging="514"/>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7"/>
          <w:szCs w:val="17"/>
          <w:color w:val="auto"/>
        </w:rPr>
        <w:t>Options granted under plans assumed by United through mergers. Such plans have been frozen as to future grants at the time of the merger.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Executive Officers</w:t>
      </w:r>
    </w:p>
    <w:p>
      <w:pPr>
        <w:spacing w:after="0" w:line="197" w:lineRule="exact"/>
        <w:rPr>
          <w:sz w:val="20"/>
          <w:szCs w:val="20"/>
          <w:color w:val="auto"/>
        </w:rPr>
      </w:pPr>
    </w:p>
    <w:p>
      <w:pPr>
        <w:ind w:right="220" w:firstLine="221"/>
        <w:spacing w:after="0" w:line="252" w:lineRule="auto"/>
        <w:rPr>
          <w:sz w:val="20"/>
          <w:szCs w:val="20"/>
          <w:color w:val="auto"/>
        </w:rPr>
      </w:pPr>
      <w:r>
        <w:rPr>
          <w:rFonts w:ascii="Arial" w:cs="Arial" w:eastAsia="Arial" w:hAnsi="Arial"/>
          <w:sz w:val="18"/>
          <w:szCs w:val="18"/>
          <w:color w:val="auto"/>
        </w:rPr>
        <w:t>Jimmy C. Tallent, Guy W. Freeman, Rex S. Schuette, Thomas C. Gilliland and Ray K. Williams have each entered into a Change in Control Severance Agreement with United. The agreement is to remain in effect until the earlier of the termination of such executive’s employment without entitlement to the benefits under the agreement or the date that that the executive attains age 65 (except that Mr. Freeman’s agreement remains in effect to age 70), unless earlier terminated by mutual written agreement of the executive and United.</w:t>
      </w:r>
    </w:p>
    <w:p>
      <w:pPr>
        <w:spacing w:after="0" w:line="152" w:lineRule="exact"/>
        <w:rPr>
          <w:sz w:val="20"/>
          <w:szCs w:val="20"/>
          <w:color w:val="auto"/>
        </w:rPr>
      </w:pPr>
    </w:p>
    <w:p>
      <w:pPr>
        <w:ind w:right="200" w:firstLine="218"/>
        <w:spacing w:after="0" w:line="366" w:lineRule="auto"/>
        <w:rPr>
          <w:sz w:val="20"/>
          <w:szCs w:val="20"/>
          <w:color w:val="auto"/>
        </w:rPr>
      </w:pPr>
      <w:r>
        <w:rPr>
          <w:rFonts w:ascii="Arial" w:cs="Arial" w:eastAsia="Arial" w:hAnsi="Arial"/>
          <w:sz w:val="15"/>
          <w:szCs w:val="15"/>
          <w:color w:val="auto"/>
        </w:rPr>
        <w:t>The agreement provides for payment of compensation and benefits to the executive in the event of a Change in Control (as defined in the agreement), if the executive’s employment is involuntarily terminated by United without Cause (as defined in the agreement), or if the executive terminates his</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employment for Good Reason (as defined in the agreement). The executive is not entitled to compensation or payments pursuant to the agreement if he is terminated by United for Cause, dies, incurs a disability, or voluntarily terminates employment (other than for Good Reason). If a Change in Control occurs during the term of the agreement and the executive’s employment is terminated within six months prior to, or eighteen months following, the date of the Change in Control, and if such termination is an involuntary termination by United without Cause (and does not arise as a result of death or disability) or a termination by the executive for Good Reason, the executive will be entitled to certain compensation and benefits including his base salary, bonus payments (as determined under the agreement) and certain other benefits as determined by the agreement for the entire CIC Severance Period (defined as the lesser of 36 months from the date of his termination or the number of months from the date of his termination until he attains age 65 (70 in the case of Mr. Freeman). The agreement provides that the compensation and benefits provided for under the agreement shall be reduced or modified so as to insure that United does not pay an Excess Severance Payment (as defined in the agreement).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84" w:lineRule="exact"/>
        <w:rPr>
          <w:sz w:val="20"/>
          <w:szCs w:val="20"/>
          <w:color w:val="auto"/>
        </w:rPr>
      </w:pPr>
    </w:p>
    <w:p>
      <w:pPr>
        <w:jc w:val="both"/>
        <w:ind w:right="40" w:firstLine="221"/>
        <w:spacing w:after="0" w:line="255" w:lineRule="auto"/>
        <w:rPr>
          <w:sz w:val="20"/>
          <w:szCs w:val="20"/>
          <w:color w:val="auto"/>
        </w:rPr>
      </w:pPr>
      <w:r>
        <w:rPr>
          <w:rFonts w:ascii="Arial" w:cs="Arial" w:eastAsia="Arial" w:hAnsi="Arial"/>
          <w:sz w:val="18"/>
          <w:szCs w:val="18"/>
          <w:color w:val="auto"/>
        </w:rPr>
        <w:t>During 2004, the Compensation Committee of the Board of Directors of United reviewed the compensation of Messrs. Tallent, Freeman, Schuette, Gilliland and Williams. Although Mr. Tallent participated in deliberations regarding other executive officers, Mr. Tallent did not participate in any decisions regarding his own compensation as an executive officer.</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REPORT ON EXECUTIVE COMPENSATION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84" w:lineRule="exact"/>
        <w:rPr>
          <w:sz w:val="20"/>
          <w:szCs w:val="20"/>
          <w:color w:val="auto"/>
        </w:rPr>
      </w:pPr>
    </w:p>
    <w:p>
      <w:pPr>
        <w:ind w:right="40" w:firstLine="221"/>
        <w:spacing w:after="0" w:line="318" w:lineRule="auto"/>
        <w:rPr>
          <w:sz w:val="20"/>
          <w:szCs w:val="20"/>
          <w:color w:val="auto"/>
        </w:rPr>
      </w:pPr>
      <w:r>
        <w:rPr>
          <w:rFonts w:ascii="Arial" w:cs="Arial" w:eastAsia="Arial" w:hAnsi="Arial"/>
          <w:sz w:val="15"/>
          <w:szCs w:val="15"/>
          <w:color w:val="auto"/>
        </w:rPr>
        <w:t>Under rules established by the SEC, United is required to provide certain information with respect to compensation provided to United’s President and Chief Executive Officer and other executive officers. The SEC regulations require a report setting forth a description of United’s executive compensation policy in general and the considerations that led to the compensation decisions affecting Messrs. Tallent, Freeman, Schuette, Gilliland and Williams. In fulfillment of this requirement, the Board of Directors and Compensation Committee have prepared the following report for inclusion in this proxy statement.</w:t>
      </w:r>
    </w:p>
    <w:p>
      <w:pPr>
        <w:spacing w:after="0" w:line="107" w:lineRule="exact"/>
        <w:rPr>
          <w:sz w:val="20"/>
          <w:szCs w:val="20"/>
          <w:color w:val="auto"/>
        </w:rPr>
      </w:pPr>
    </w:p>
    <w:p>
      <w:pPr>
        <w:ind w:right="120" w:firstLine="218"/>
        <w:spacing w:after="0" w:line="250" w:lineRule="auto"/>
        <w:rPr>
          <w:sz w:val="20"/>
          <w:szCs w:val="20"/>
          <w:color w:val="auto"/>
        </w:rPr>
      </w:pPr>
      <w:r>
        <w:rPr>
          <w:rFonts w:ascii="Arial" w:cs="Arial" w:eastAsia="Arial" w:hAnsi="Arial"/>
          <w:sz w:val="18"/>
          <w:szCs w:val="18"/>
          <w:color w:val="auto"/>
        </w:rPr>
        <w:t>The fundamental policy of United’s compensation program is to offer competitive compensation and benefits for all employees, including the President and Chief Executive Officer and the other officers of United, to compete for and retain talented personnel who will lead United in achieving levels of financial performance that enhance shareholder value. United’s executive compensation consists of three core components: salary, annual cash bonus and long-term compensation through the granting of stock options and restricted stock awards. United also provides matching 401(k) contributions and other customary perquisites to its executive officers.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Salary</w:t>
      </w:r>
    </w:p>
    <w:p>
      <w:pPr>
        <w:spacing w:after="0" w:line="184" w:lineRule="exact"/>
        <w:rPr>
          <w:sz w:val="20"/>
          <w:szCs w:val="20"/>
          <w:color w:val="auto"/>
        </w:rPr>
      </w:pPr>
    </w:p>
    <w:p>
      <w:pPr>
        <w:ind w:firstLine="218"/>
        <w:spacing w:after="0" w:line="249" w:lineRule="auto"/>
        <w:rPr>
          <w:sz w:val="20"/>
          <w:szCs w:val="20"/>
          <w:color w:val="auto"/>
        </w:rPr>
      </w:pPr>
      <w:r>
        <w:rPr>
          <w:rFonts w:ascii="Arial" w:cs="Arial" w:eastAsia="Arial" w:hAnsi="Arial"/>
          <w:sz w:val="18"/>
          <w:szCs w:val="18"/>
          <w:color w:val="auto"/>
        </w:rPr>
        <w:t>The Compensation Committee sets base salaries for United’s executive officers annually. With respect to all executive officers other than the Chief Executive Officer, the Compensation Committee considers Mr. Tallent’s recommendations and assessment of each officer’s performance, his or her tenure and experience in his or her respective positions, and internal comparability considerations. The Compensation Committee also has available and considers information provided by its independent consultants about the compensation and benefits paid by similar bank holding companies for comparable executive positions. The Compensation Committee attempts to achieve an appropriate balance between base salary, cash bonuses, and long-term equity incentives for all of its executive officers. The Compensation Committee did not assign relative weights to the factors considered in setting these salaries, cash bonuses and long-term equity incentives.</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3" w:right="2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Incentive Compensation</w:t>
      </w:r>
    </w:p>
    <w:p>
      <w:pPr>
        <w:spacing w:after="0" w:line="197" w:lineRule="exact"/>
        <w:rPr>
          <w:sz w:val="20"/>
          <w:szCs w:val="20"/>
          <w:color w:val="auto"/>
        </w:rPr>
      </w:pPr>
    </w:p>
    <w:p>
      <w:pPr>
        <w:ind w:right="160" w:firstLine="211"/>
        <w:spacing w:after="0" w:line="269" w:lineRule="auto"/>
        <w:rPr>
          <w:sz w:val="20"/>
          <w:szCs w:val="20"/>
          <w:color w:val="auto"/>
        </w:rPr>
      </w:pPr>
      <w:r>
        <w:rPr>
          <w:rFonts w:ascii="Arial" w:cs="Arial" w:eastAsia="Arial" w:hAnsi="Arial"/>
          <w:sz w:val="17"/>
          <w:szCs w:val="17"/>
          <w:color w:val="auto"/>
        </w:rPr>
        <w:t>Annual incentive compensation for 2004, paid in the form of a cash bonus during the first quarter of 2005, was based on United’s 2004 financial results, including targets with respect to net operating income, operating earnings per share and return on tangible equity. Cash bonuses were granted by the Compensation Committee to Mr. Tallent and the executive officers, and the Compensation Committee set a range of bonuses (based on a percentage of salary) for all officers and employees other than Mr. Tallent and the executive officers, within which range Mr. Tallent and the executive officers determined bonuses based on individual performance. Bonuses for executive officers were 35% to 100% of base salaries.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Benefits</w:t>
      </w:r>
    </w:p>
    <w:p>
      <w:pPr>
        <w:spacing w:after="0" w:line="184" w:lineRule="exact"/>
        <w:rPr>
          <w:sz w:val="20"/>
          <w:szCs w:val="20"/>
          <w:color w:val="auto"/>
        </w:rPr>
      </w:pPr>
    </w:p>
    <w:p>
      <w:pPr>
        <w:ind w:firstLine="221"/>
        <w:spacing w:after="0" w:line="252" w:lineRule="auto"/>
        <w:rPr>
          <w:sz w:val="20"/>
          <w:szCs w:val="20"/>
          <w:color w:val="auto"/>
        </w:rPr>
      </w:pPr>
      <w:r>
        <w:rPr>
          <w:rFonts w:ascii="Arial" w:cs="Arial" w:eastAsia="Arial" w:hAnsi="Arial"/>
          <w:sz w:val="18"/>
          <w:szCs w:val="18"/>
          <w:i w:val="1"/>
          <w:iCs w:val="1"/>
          <w:color w:val="auto"/>
        </w:rPr>
        <w:t>Modified Retirement Plan</w:t>
      </w:r>
      <w:r>
        <w:rPr>
          <w:rFonts w:ascii="Arial" w:cs="Arial" w:eastAsia="Arial" w:hAnsi="Arial"/>
          <w:sz w:val="18"/>
          <w:szCs w:val="18"/>
          <w:color w:val="auto"/>
        </w:rPr>
        <w:t>. United maintains a modified retirement plan (the “Modified Retirement Plan”) for certain of its executive officers and key officers</w:t>
      </w:r>
      <w:r>
        <w:rPr>
          <w:rFonts w:ascii="Arial" w:cs="Arial" w:eastAsia="Arial" w:hAnsi="Arial"/>
          <w:sz w:val="18"/>
          <w:szCs w:val="18"/>
          <w:i w:val="1"/>
          <w:iCs w:val="1"/>
          <w:color w:val="auto"/>
        </w:rPr>
        <w:t xml:space="preserve"> </w:t>
      </w:r>
      <w:r>
        <w:rPr>
          <w:rFonts w:ascii="Arial" w:cs="Arial" w:eastAsia="Arial" w:hAnsi="Arial"/>
          <w:sz w:val="18"/>
          <w:szCs w:val="18"/>
          <w:color w:val="auto"/>
        </w:rPr>
        <w:t>of its subsidiaries. The Modified Retirement Plan replaces the Revenue Neutral Retirement Plan that provided similar benefits as well as split dollar insurance for the participant’s spouse. The Modified Retirement Plan provides specified benefits to such officers who contribute materially to the continued growth, development and future business success of United and its subsidiaries.</w:t>
      </w:r>
    </w:p>
    <w:p>
      <w:pPr>
        <w:spacing w:after="0" w:line="165" w:lineRule="exact"/>
        <w:rPr>
          <w:sz w:val="20"/>
          <w:szCs w:val="20"/>
          <w:color w:val="auto"/>
        </w:rPr>
      </w:pPr>
    </w:p>
    <w:p>
      <w:pPr>
        <w:ind w:right="80" w:firstLine="221"/>
        <w:spacing w:after="0" w:line="255" w:lineRule="auto"/>
        <w:rPr>
          <w:sz w:val="20"/>
          <w:szCs w:val="20"/>
          <w:color w:val="auto"/>
        </w:rPr>
      </w:pPr>
      <w:r>
        <w:rPr>
          <w:rFonts w:ascii="Arial" w:cs="Arial" w:eastAsia="Arial" w:hAnsi="Arial"/>
          <w:sz w:val="18"/>
          <w:szCs w:val="18"/>
          <w:color w:val="auto"/>
        </w:rPr>
        <w:t>Generally, when a participant retires, United will pay to the participant accrued benefits in equal installments (1) for the lifetime of the participant and, if the participant is married upon death, a lesser lifetime amount to the participant’s spouse, or (2) if elected by the participant, a fixed payment for 15 years. The benefits are taxable to the participant.</w:t>
      </w:r>
    </w:p>
    <w:p>
      <w:pPr>
        <w:spacing w:after="0" w:line="149" w:lineRule="exact"/>
        <w:rPr>
          <w:sz w:val="20"/>
          <w:szCs w:val="20"/>
          <w:color w:val="auto"/>
        </w:rPr>
      </w:pPr>
    </w:p>
    <w:p>
      <w:pPr>
        <w:ind w:firstLine="218"/>
        <w:spacing w:after="0" w:line="318" w:lineRule="auto"/>
        <w:rPr>
          <w:sz w:val="20"/>
          <w:szCs w:val="20"/>
          <w:color w:val="auto"/>
        </w:rPr>
      </w:pPr>
      <w:r>
        <w:rPr>
          <w:rFonts w:ascii="Arial" w:cs="Arial" w:eastAsia="Arial" w:hAnsi="Arial"/>
          <w:sz w:val="15"/>
          <w:szCs w:val="15"/>
          <w:color w:val="auto"/>
        </w:rPr>
        <w:t>The Modified Retirement Plan contains provisions that provide for certain accelerated payments upon a change in control of United. Additionally, the Modified Retirement Plan provides that benefits will be forfeited if a participant is terminated for cause, competes with United during the three years after his or her termination of employment, solicits customers or employees of United during the three years after his or her termination of employment, discloses United’s confidential information during the three years after his or her termination of employment, or knowingly or intentionally damages United’s goodwill or esteem.</w:t>
      </w:r>
    </w:p>
    <w:p>
      <w:pPr>
        <w:spacing w:after="0" w:line="107" w:lineRule="exact"/>
        <w:rPr>
          <w:sz w:val="20"/>
          <w:szCs w:val="20"/>
          <w:color w:val="auto"/>
        </w:rPr>
      </w:pPr>
    </w:p>
    <w:p>
      <w:pPr>
        <w:ind w:right="40" w:firstLine="221"/>
        <w:spacing w:after="0" w:line="252" w:lineRule="auto"/>
        <w:rPr>
          <w:sz w:val="20"/>
          <w:szCs w:val="20"/>
          <w:color w:val="auto"/>
        </w:rPr>
      </w:pPr>
      <w:r>
        <w:rPr>
          <w:rFonts w:ascii="Arial" w:cs="Arial" w:eastAsia="Arial" w:hAnsi="Arial"/>
          <w:sz w:val="18"/>
          <w:szCs w:val="18"/>
          <w:i w:val="1"/>
          <w:iCs w:val="1"/>
          <w:color w:val="auto"/>
        </w:rPr>
        <w:t>Deferred Compensation Plan</w:t>
      </w:r>
      <w:r>
        <w:rPr>
          <w:rFonts w:ascii="Arial" w:cs="Arial" w:eastAsia="Arial" w:hAnsi="Arial"/>
          <w:sz w:val="18"/>
          <w:szCs w:val="18"/>
          <w:color w:val="auto"/>
        </w:rPr>
        <w:t>. In addition, United maintains a deferred compensation plan (the “Deferred Compensation Plan”) for its executive officers and</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key officers of its subsidiaries and members of United’s Board of Directors. The Deferred Compensation Plan provides for the deferral of compensation, fees and other specified benefits to selected individuals who contribute materially to the continued growth, development and future business success of United and its affiliates.</w:t>
      </w:r>
    </w:p>
    <w:p>
      <w:pPr>
        <w:spacing w:after="0" w:line="165" w:lineRule="exact"/>
        <w:rPr>
          <w:sz w:val="20"/>
          <w:szCs w:val="20"/>
          <w:color w:val="auto"/>
        </w:rPr>
      </w:pPr>
    </w:p>
    <w:p>
      <w:pPr>
        <w:ind w:firstLine="218"/>
        <w:spacing w:after="0" w:line="252" w:lineRule="auto"/>
        <w:rPr>
          <w:sz w:val="20"/>
          <w:szCs w:val="20"/>
          <w:color w:val="auto"/>
        </w:rPr>
      </w:pPr>
      <w:r>
        <w:rPr>
          <w:rFonts w:ascii="Arial" w:cs="Arial" w:eastAsia="Arial" w:hAnsi="Arial"/>
          <w:sz w:val="18"/>
          <w:szCs w:val="18"/>
          <w:color w:val="auto"/>
        </w:rPr>
        <w:t>The Deferred Compensation Plan permits each employee participant to elect to defer a portion of his or her base salary or bonus and permits each director participant to elect to defer all or a portion of his or her director’s fees. Further, the Deferred Compensation Plan allows for additional matching contributions by United for amounts that would be paid if they do not exceed the allowable amounts under the tax-qualified 401(k) plan. In addition, the Board of Directors may make discretionary contribution to the accounts of any or all participants.</w:t>
      </w:r>
    </w:p>
    <w:p>
      <w:pPr>
        <w:spacing w:after="0" w:line="152" w:lineRule="exact"/>
        <w:rPr>
          <w:sz w:val="20"/>
          <w:szCs w:val="20"/>
          <w:color w:val="auto"/>
        </w:rPr>
      </w:pPr>
    </w:p>
    <w:p>
      <w:pPr>
        <w:ind w:right="20" w:firstLine="221"/>
        <w:spacing w:after="0" w:line="277" w:lineRule="auto"/>
        <w:rPr>
          <w:sz w:val="20"/>
          <w:szCs w:val="20"/>
          <w:color w:val="auto"/>
        </w:rPr>
      </w:pPr>
      <w:r>
        <w:rPr>
          <w:rFonts w:ascii="Arial" w:cs="Arial" w:eastAsia="Arial" w:hAnsi="Arial"/>
          <w:sz w:val="17"/>
          <w:szCs w:val="17"/>
          <w:color w:val="auto"/>
        </w:rPr>
        <w:t>Generally, when a participant retires or becomes disabled, United will pay to the participant accrued benefits in a lump sum or in equal installments for 5, 10, or 15 years. In addition, a participant can elect at the time they choose to make deferrals, to have a portion of his or her vested account paid out at a specified time in a lump sum or in annual installments for 2, 3, 4, or 5 years. The benefit payments are taxable to the participant.</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3"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 and Restricted Stock Awards</w:t>
      </w:r>
    </w:p>
    <w:p>
      <w:pPr>
        <w:spacing w:after="0" w:line="197" w:lineRule="exact"/>
        <w:rPr>
          <w:sz w:val="20"/>
          <w:szCs w:val="20"/>
          <w:color w:val="auto"/>
        </w:rPr>
      </w:pPr>
    </w:p>
    <w:p>
      <w:pPr>
        <w:ind w:firstLine="221"/>
        <w:spacing w:after="0" w:line="330" w:lineRule="auto"/>
        <w:rPr>
          <w:sz w:val="20"/>
          <w:szCs w:val="20"/>
          <w:color w:val="auto"/>
        </w:rPr>
      </w:pPr>
      <w:r>
        <w:rPr>
          <w:rFonts w:ascii="Arial" w:cs="Arial" w:eastAsia="Arial" w:hAnsi="Arial"/>
          <w:sz w:val="15"/>
          <w:szCs w:val="15"/>
          <w:color w:val="auto"/>
        </w:rPr>
        <w:t>During 2004, options to acquire 323,104 shares of common stock were awarded under the 2000 Plan, including options to acquire 49,500 shares of common stock awarded to the named executive officers by the Compensation Committee. Restricted stock awards of 17,300 shares of common stock were awarded under the 2000 Plan during 2004, including 10,950 restricted shares of common stock awarded to the named executive officers by the Compensation Committee.</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Executive Officer Compensation</w:t>
      </w:r>
    </w:p>
    <w:p>
      <w:pPr>
        <w:spacing w:after="0" w:line="184" w:lineRule="exact"/>
        <w:rPr>
          <w:sz w:val="20"/>
          <w:szCs w:val="20"/>
          <w:color w:val="auto"/>
        </w:rPr>
      </w:pPr>
    </w:p>
    <w:p>
      <w:pPr>
        <w:ind w:right="100" w:firstLine="218"/>
        <w:spacing w:after="0" w:line="307" w:lineRule="auto"/>
        <w:rPr>
          <w:sz w:val="20"/>
          <w:szCs w:val="20"/>
          <w:color w:val="auto"/>
        </w:rPr>
      </w:pPr>
      <w:r>
        <w:rPr>
          <w:rFonts w:ascii="Arial" w:cs="Arial" w:eastAsia="Arial" w:hAnsi="Arial"/>
          <w:sz w:val="15"/>
          <w:szCs w:val="15"/>
          <w:color w:val="auto"/>
        </w:rPr>
        <w:t>The Compensation Committee met in executive session to set Mr. Tallent’s base salary and long-term equity incentives for 2004, and met in a subsequent executive session in December, 2004 to award his 2004 cash bonus payable in early 2005. The Compensation Committee considers objective measurements of business performance, the accomplishment of strategic and financial objectives, the development of management talent within the company, and other matters relevant to the short-term and the long-term success of the company and the enhancement of shareholder value in the broadest sense. The Compensation Committee has available, and considers, information provided by its independent compensation consultants about the various components of compensation and benefits paid by comparable bank holding companies to their Chief Executive Officers. The Compensation Committee's chairman communicates the results of the Compensation Committee’s evaluation of all these factors to Mr. Tallent.</w:t>
      </w:r>
    </w:p>
    <w:p>
      <w:pPr>
        <w:spacing w:after="0" w:line="126" w:lineRule="exact"/>
        <w:rPr>
          <w:sz w:val="20"/>
          <w:szCs w:val="20"/>
          <w:color w:val="auto"/>
        </w:rPr>
      </w:pPr>
    </w:p>
    <w:p>
      <w:pPr>
        <w:ind w:right="680" w:firstLine="221"/>
        <w:spacing w:after="0" w:line="294" w:lineRule="auto"/>
        <w:rPr>
          <w:sz w:val="20"/>
          <w:szCs w:val="20"/>
          <w:color w:val="auto"/>
        </w:rPr>
      </w:pPr>
      <w:r>
        <w:rPr>
          <w:rFonts w:ascii="Arial" w:cs="Arial" w:eastAsia="Arial" w:hAnsi="Arial"/>
          <w:sz w:val="17"/>
          <w:szCs w:val="17"/>
          <w:color w:val="auto"/>
        </w:rPr>
        <w:t>Based upon this evaluation, the Compensation Committee, subject to ratification by the independent members of the board, establishes Mr. Tallent’s compensation, including base salary, performance bonuses, and awards under annual and long-term incentive plans.</w:t>
      </w:r>
    </w:p>
    <w:p>
      <w:pPr>
        <w:spacing w:after="0" w:line="11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This report is respectfully submitted by the Compensation Committee of the Board of Directors.</w:t>
      </w:r>
    </w:p>
    <w:p>
      <w:pPr>
        <w:spacing w:after="0" w:line="178"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A. William Bennett, Chairman</w:t>
      </w:r>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Robert H. Blalock</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Robert L. Head, Jr.</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Charles E. Hill</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Hoyt O. Holloway</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Clarence W. Mason, Sr.</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W.C. Nelson, Jr.</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Tim Wallis</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 RETURN PERFORMANCE GRAPH</w:t>
      </w:r>
    </w:p>
    <w:p>
      <w:pPr>
        <w:spacing w:after="0" w:line="197" w:lineRule="exact"/>
        <w:rPr>
          <w:sz w:val="20"/>
          <w:szCs w:val="20"/>
          <w:color w:val="auto"/>
        </w:rPr>
      </w:pPr>
    </w:p>
    <w:p>
      <w:pPr>
        <w:ind w:right="220" w:firstLine="221"/>
        <w:spacing w:after="0" w:line="318" w:lineRule="auto"/>
        <w:rPr>
          <w:sz w:val="20"/>
          <w:szCs w:val="20"/>
          <w:color w:val="auto"/>
        </w:rPr>
      </w:pPr>
      <w:r>
        <w:rPr>
          <w:rFonts w:ascii="Arial" w:cs="Arial" w:eastAsia="Arial" w:hAnsi="Arial"/>
          <w:sz w:val="15"/>
          <w:szCs w:val="15"/>
          <w:color w:val="auto"/>
        </w:rPr>
        <w:t>Set forth below is a line graph comparing the yearly percentage change in the cumulative total shareholder return on United’s common stock against the cumulative total return on the Nasdaq Stock Market (U.S. Companies) Index and the Nasdaq Bank Stocks Index for the five-year period commencing December 31, 1999 and ending on December 31, 2004. United’s common stock was not traded on an exchange until March 18, 2002 when it became listed on the Nasdaq Stock Market. The total shareholder return is based on stock trades known to United during the periods prior to March 18, 2002.</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FIVE YEAR CUMULATIVE TOTAL RETURNS*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COMPARISON OF UNITED COMMUNITY BANKS,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NASDAQ STOCK MARKET (U.S.) INDEX</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NASDAQ BANK INDEX</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1098550</wp:posOffset>
            </wp:positionH>
            <wp:positionV relativeFrom="paragraph">
              <wp:posOffset>113665</wp:posOffset>
            </wp:positionV>
            <wp:extent cx="5060315" cy="27362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060315" cy="2736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300" w:right="2340"/>
        <w:spacing w:after="0" w:line="255" w:lineRule="auto"/>
        <w:rPr>
          <w:sz w:val="20"/>
          <w:szCs w:val="20"/>
          <w:color w:val="auto"/>
        </w:rPr>
      </w:pPr>
      <w:r>
        <w:rPr>
          <w:rFonts w:ascii="Arial" w:cs="Arial" w:eastAsia="Arial" w:hAnsi="Arial"/>
          <w:sz w:val="18"/>
          <w:szCs w:val="18"/>
          <w:color w:val="auto"/>
        </w:rPr>
        <w:t>*Assumes $100 Invested on December 31, 1999 in the United’s common stock and above noted indexes. Total return includes reinvestment of dividends and values of stock and indexes as of December 31 of each year.</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9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4"/>
          </w:tcPr>
          <w:p>
            <w:pPr>
              <w:jc w:val="right"/>
              <w:ind w:right="640"/>
              <w:spacing w:after="0"/>
              <w:rPr>
                <w:sz w:val="20"/>
                <w:szCs w:val="20"/>
                <w:color w:val="auto"/>
              </w:rPr>
            </w:pPr>
            <w:r>
              <w:rPr>
                <w:rFonts w:ascii="Arial" w:cs="Arial" w:eastAsia="Arial" w:hAnsi="Arial"/>
                <w:sz w:val="14"/>
                <w:szCs w:val="14"/>
                <w:b w:val="1"/>
                <w:bCs w:val="1"/>
                <w:color w:val="auto"/>
                <w:w w:val="98"/>
              </w:rPr>
              <w:t>Cumulative Total Return</w:t>
            </w:r>
          </w:p>
        </w:tc>
        <w:tc>
          <w:tcPr>
            <w:tcW w:w="6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4920" w:type="dxa"/>
            <w:vAlign w:val="bottom"/>
            <w:vMerge w:val="restart"/>
          </w:tcPr>
          <w:p>
            <w:pPr>
              <w:spacing w:after="0"/>
              <w:rPr>
                <w:sz w:val="20"/>
                <w:szCs w:val="20"/>
                <w:color w:val="auto"/>
              </w:rPr>
            </w:pPr>
            <w:r>
              <w:rPr>
                <w:rFonts w:ascii="Arial" w:cs="Arial" w:eastAsia="Arial" w:hAnsi="Arial"/>
                <w:sz w:val="18"/>
                <w:szCs w:val="18"/>
                <w:color w:val="auto"/>
              </w:rPr>
              <w:t>United Community Banks, Inc.</w:t>
            </w:r>
          </w:p>
        </w:tc>
        <w:tc>
          <w:tcPr>
            <w:tcW w:w="700" w:type="dxa"/>
            <w:vAlign w:val="bottom"/>
            <w:tcBorders>
              <w:bottom w:val="single" w:sz="8" w:color="auto"/>
            </w:tcBorders>
          </w:tcPr>
          <w:p>
            <w:pPr>
              <w:jc w:val="right"/>
              <w:ind w:right="115"/>
              <w:spacing w:after="0" w:line="139" w:lineRule="exact"/>
              <w:rPr>
                <w:sz w:val="20"/>
                <w:szCs w:val="20"/>
                <w:color w:val="auto"/>
              </w:rPr>
            </w:pPr>
            <w:r>
              <w:rPr>
                <w:rFonts w:ascii="Arial" w:cs="Arial" w:eastAsia="Arial" w:hAnsi="Arial"/>
                <w:sz w:val="14"/>
                <w:szCs w:val="14"/>
                <w:b w:val="1"/>
                <w:bCs w:val="1"/>
                <w:color w:val="auto"/>
              </w:rPr>
              <w:t>1999</w:t>
            </w:r>
          </w:p>
        </w:tc>
        <w:tc>
          <w:tcPr>
            <w:tcW w:w="480" w:type="dxa"/>
            <w:vAlign w:val="bottom"/>
          </w:tcPr>
          <w:p>
            <w:pPr>
              <w:spacing w:after="0"/>
              <w:rPr>
                <w:sz w:val="12"/>
                <w:szCs w:val="12"/>
                <w:color w:val="auto"/>
              </w:rPr>
            </w:pPr>
          </w:p>
        </w:tc>
        <w:tc>
          <w:tcPr>
            <w:tcW w:w="700" w:type="dxa"/>
            <w:vAlign w:val="bottom"/>
            <w:tcBorders>
              <w:bottom w:val="single" w:sz="8" w:color="auto"/>
            </w:tcBorders>
          </w:tcPr>
          <w:p>
            <w:pPr>
              <w:jc w:val="right"/>
              <w:ind w:right="136"/>
              <w:spacing w:after="0" w:line="139" w:lineRule="exact"/>
              <w:rPr>
                <w:sz w:val="20"/>
                <w:szCs w:val="20"/>
                <w:color w:val="auto"/>
              </w:rPr>
            </w:pPr>
            <w:r>
              <w:rPr>
                <w:rFonts w:ascii="Arial" w:cs="Arial" w:eastAsia="Arial" w:hAnsi="Arial"/>
                <w:sz w:val="14"/>
                <w:szCs w:val="14"/>
                <w:b w:val="1"/>
                <w:bCs w:val="1"/>
                <w:color w:val="auto"/>
              </w:rPr>
              <w:t>2000</w:t>
            </w:r>
          </w:p>
        </w:tc>
        <w:tc>
          <w:tcPr>
            <w:tcW w:w="460" w:type="dxa"/>
            <w:vAlign w:val="bottom"/>
          </w:tcPr>
          <w:p>
            <w:pPr>
              <w:spacing w:after="0"/>
              <w:rPr>
                <w:sz w:val="12"/>
                <w:szCs w:val="12"/>
                <w:color w:val="auto"/>
              </w:rPr>
            </w:pPr>
          </w:p>
        </w:tc>
        <w:tc>
          <w:tcPr>
            <w:tcW w:w="700" w:type="dxa"/>
            <w:vAlign w:val="bottom"/>
            <w:tcBorders>
              <w:bottom w:val="single" w:sz="8" w:color="auto"/>
            </w:tcBorders>
          </w:tcPr>
          <w:p>
            <w:pPr>
              <w:jc w:val="right"/>
              <w:ind w:right="119"/>
              <w:spacing w:after="0" w:line="139" w:lineRule="exact"/>
              <w:rPr>
                <w:sz w:val="20"/>
                <w:szCs w:val="20"/>
                <w:color w:val="auto"/>
              </w:rPr>
            </w:pPr>
            <w:r>
              <w:rPr>
                <w:rFonts w:ascii="Arial" w:cs="Arial" w:eastAsia="Arial" w:hAnsi="Arial"/>
                <w:sz w:val="14"/>
                <w:szCs w:val="14"/>
                <w:b w:val="1"/>
                <w:bCs w:val="1"/>
                <w:color w:val="auto"/>
              </w:rPr>
              <w:t>2001</w:t>
            </w:r>
          </w:p>
        </w:tc>
        <w:tc>
          <w:tcPr>
            <w:tcW w:w="460" w:type="dxa"/>
            <w:vAlign w:val="bottom"/>
          </w:tcPr>
          <w:p>
            <w:pPr>
              <w:spacing w:after="0"/>
              <w:rPr>
                <w:sz w:val="12"/>
                <w:szCs w:val="12"/>
                <w:color w:val="auto"/>
              </w:rPr>
            </w:pPr>
          </w:p>
        </w:tc>
        <w:tc>
          <w:tcPr>
            <w:tcW w:w="660" w:type="dxa"/>
            <w:vAlign w:val="bottom"/>
            <w:tcBorders>
              <w:bottom w:val="single" w:sz="8" w:color="auto"/>
            </w:tcBorders>
          </w:tcPr>
          <w:p>
            <w:pPr>
              <w:jc w:val="right"/>
              <w:ind w:right="96"/>
              <w:spacing w:after="0" w:line="139" w:lineRule="exact"/>
              <w:rPr>
                <w:sz w:val="20"/>
                <w:szCs w:val="20"/>
                <w:color w:val="auto"/>
              </w:rPr>
            </w:pPr>
            <w:r>
              <w:rPr>
                <w:rFonts w:ascii="Arial" w:cs="Arial" w:eastAsia="Arial" w:hAnsi="Arial"/>
                <w:sz w:val="14"/>
                <w:szCs w:val="14"/>
                <w:b w:val="1"/>
                <w:bCs w:val="1"/>
                <w:color w:val="auto"/>
              </w:rPr>
              <w:t>2002</w:t>
            </w:r>
          </w:p>
        </w:tc>
        <w:tc>
          <w:tcPr>
            <w:tcW w:w="440" w:type="dxa"/>
            <w:vAlign w:val="bottom"/>
          </w:tcPr>
          <w:p>
            <w:pPr>
              <w:spacing w:after="0"/>
              <w:rPr>
                <w:sz w:val="12"/>
                <w:szCs w:val="12"/>
                <w:color w:val="auto"/>
              </w:rPr>
            </w:pPr>
          </w:p>
        </w:tc>
        <w:tc>
          <w:tcPr>
            <w:tcW w:w="680" w:type="dxa"/>
            <w:vAlign w:val="bottom"/>
            <w:tcBorders>
              <w:bottom w:val="single" w:sz="8" w:color="auto"/>
            </w:tcBorders>
          </w:tcPr>
          <w:p>
            <w:pPr>
              <w:jc w:val="right"/>
              <w:ind w:right="116"/>
              <w:spacing w:after="0" w:line="139" w:lineRule="exact"/>
              <w:rPr>
                <w:sz w:val="20"/>
                <w:szCs w:val="20"/>
                <w:color w:val="auto"/>
              </w:rPr>
            </w:pPr>
            <w:r>
              <w:rPr>
                <w:rFonts w:ascii="Arial" w:cs="Arial" w:eastAsia="Arial" w:hAnsi="Arial"/>
                <w:sz w:val="14"/>
                <w:szCs w:val="14"/>
                <w:b w:val="1"/>
                <w:bCs w:val="1"/>
                <w:color w:val="auto"/>
              </w:rPr>
              <w:t>2003</w:t>
            </w:r>
          </w:p>
        </w:tc>
        <w:tc>
          <w:tcPr>
            <w:tcW w:w="440" w:type="dxa"/>
            <w:vAlign w:val="bottom"/>
          </w:tcPr>
          <w:p>
            <w:pPr>
              <w:spacing w:after="0"/>
              <w:rPr>
                <w:sz w:val="12"/>
                <w:szCs w:val="12"/>
                <w:color w:val="auto"/>
              </w:rPr>
            </w:pPr>
          </w:p>
        </w:tc>
        <w:tc>
          <w:tcPr>
            <w:tcW w:w="680" w:type="dxa"/>
            <w:vAlign w:val="bottom"/>
            <w:tcBorders>
              <w:bottom w:val="single" w:sz="8" w:color="auto"/>
            </w:tcBorders>
          </w:tcPr>
          <w:p>
            <w:pPr>
              <w:jc w:val="right"/>
              <w:ind w:right="116"/>
              <w:spacing w:after="0" w:line="139"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4920" w:type="dxa"/>
            <w:vAlign w:val="bottom"/>
            <w:vMerge w:val="continue"/>
          </w:tcPr>
          <w:p>
            <w:pPr>
              <w:spacing w:after="0"/>
              <w:rPr>
                <w:sz w:val="16"/>
                <w:szCs w:val="16"/>
                <w:color w:val="auto"/>
              </w:rPr>
            </w:pPr>
          </w:p>
        </w:tc>
        <w:tc>
          <w:tcPr>
            <w:tcW w:w="700" w:type="dxa"/>
            <w:vAlign w:val="bottom"/>
          </w:tcPr>
          <w:p>
            <w:pPr>
              <w:ind w:left="440"/>
              <w:spacing w:after="0" w:line="193" w:lineRule="exact"/>
              <w:rPr>
                <w:sz w:val="20"/>
                <w:szCs w:val="20"/>
                <w:color w:val="auto"/>
              </w:rPr>
            </w:pPr>
            <w:r>
              <w:rPr>
                <w:rFonts w:ascii="Arial" w:cs="Arial" w:eastAsia="Arial" w:hAnsi="Arial"/>
                <w:sz w:val="18"/>
                <w:szCs w:val="18"/>
                <w:color w:val="auto"/>
                <w:w w:val="79"/>
              </w:rPr>
              <w:t>100</w:t>
            </w:r>
          </w:p>
        </w:tc>
        <w:tc>
          <w:tcPr>
            <w:tcW w:w="480" w:type="dxa"/>
            <w:vAlign w:val="bottom"/>
          </w:tcPr>
          <w:p>
            <w:pPr>
              <w:spacing w:after="0"/>
              <w:rPr>
                <w:sz w:val="16"/>
                <w:szCs w:val="16"/>
                <w:color w:val="auto"/>
              </w:rPr>
            </w:pPr>
          </w:p>
        </w:tc>
        <w:tc>
          <w:tcPr>
            <w:tcW w:w="700" w:type="dxa"/>
            <w:vAlign w:val="bottom"/>
          </w:tcPr>
          <w:p>
            <w:pPr>
              <w:jc w:val="right"/>
              <w:spacing w:after="0" w:line="193" w:lineRule="exact"/>
              <w:rPr>
                <w:sz w:val="20"/>
                <w:szCs w:val="20"/>
                <w:color w:val="auto"/>
              </w:rPr>
            </w:pPr>
            <w:r>
              <w:rPr>
                <w:rFonts w:ascii="Arial" w:cs="Arial" w:eastAsia="Arial" w:hAnsi="Arial"/>
                <w:sz w:val="18"/>
                <w:szCs w:val="18"/>
                <w:color w:val="auto"/>
              </w:rPr>
              <w:t>91</w:t>
            </w:r>
          </w:p>
        </w:tc>
        <w:tc>
          <w:tcPr>
            <w:tcW w:w="460" w:type="dxa"/>
            <w:vAlign w:val="bottom"/>
          </w:tcPr>
          <w:p>
            <w:pPr>
              <w:spacing w:after="0"/>
              <w:rPr>
                <w:sz w:val="16"/>
                <w:szCs w:val="16"/>
                <w:color w:val="auto"/>
              </w:rPr>
            </w:pPr>
          </w:p>
        </w:tc>
        <w:tc>
          <w:tcPr>
            <w:tcW w:w="700" w:type="dxa"/>
            <w:vAlign w:val="bottom"/>
          </w:tcPr>
          <w:p>
            <w:pPr>
              <w:jc w:val="right"/>
              <w:spacing w:after="0" w:line="193" w:lineRule="exact"/>
              <w:rPr>
                <w:sz w:val="20"/>
                <w:szCs w:val="20"/>
                <w:color w:val="auto"/>
              </w:rPr>
            </w:pPr>
            <w:r>
              <w:rPr>
                <w:rFonts w:ascii="Arial" w:cs="Arial" w:eastAsia="Arial" w:hAnsi="Arial"/>
                <w:sz w:val="18"/>
                <w:szCs w:val="18"/>
                <w:color w:val="auto"/>
              </w:rPr>
              <w:t>95</w:t>
            </w:r>
          </w:p>
        </w:tc>
        <w:tc>
          <w:tcPr>
            <w:tcW w:w="460" w:type="dxa"/>
            <w:vAlign w:val="bottom"/>
          </w:tcPr>
          <w:p>
            <w:pPr>
              <w:spacing w:after="0"/>
              <w:rPr>
                <w:sz w:val="16"/>
                <w:szCs w:val="16"/>
                <w:color w:val="auto"/>
              </w:rPr>
            </w:pPr>
          </w:p>
        </w:tc>
        <w:tc>
          <w:tcPr>
            <w:tcW w:w="660" w:type="dxa"/>
            <w:vAlign w:val="bottom"/>
          </w:tcPr>
          <w:p>
            <w:pPr>
              <w:jc w:val="right"/>
              <w:spacing w:after="0" w:line="193" w:lineRule="exact"/>
              <w:rPr>
                <w:sz w:val="20"/>
                <w:szCs w:val="20"/>
                <w:color w:val="auto"/>
              </w:rPr>
            </w:pPr>
            <w:r>
              <w:rPr>
                <w:rFonts w:ascii="Arial" w:cs="Arial" w:eastAsia="Arial" w:hAnsi="Arial"/>
                <w:sz w:val="18"/>
                <w:szCs w:val="18"/>
                <w:color w:val="auto"/>
              </w:rPr>
              <w:t>119</w:t>
            </w:r>
          </w:p>
        </w:tc>
        <w:tc>
          <w:tcPr>
            <w:tcW w:w="440" w:type="dxa"/>
            <w:vAlign w:val="bottom"/>
          </w:tcPr>
          <w:p>
            <w:pPr>
              <w:spacing w:after="0"/>
              <w:rPr>
                <w:sz w:val="16"/>
                <w:szCs w:val="16"/>
                <w:color w:val="auto"/>
              </w:rPr>
            </w:pPr>
          </w:p>
        </w:tc>
        <w:tc>
          <w:tcPr>
            <w:tcW w:w="680" w:type="dxa"/>
            <w:vAlign w:val="bottom"/>
          </w:tcPr>
          <w:p>
            <w:pPr>
              <w:jc w:val="right"/>
              <w:spacing w:after="0" w:line="193" w:lineRule="exact"/>
              <w:rPr>
                <w:sz w:val="20"/>
                <w:szCs w:val="20"/>
                <w:color w:val="auto"/>
              </w:rPr>
            </w:pPr>
            <w:r>
              <w:rPr>
                <w:rFonts w:ascii="Arial" w:cs="Arial" w:eastAsia="Arial" w:hAnsi="Arial"/>
                <w:sz w:val="18"/>
                <w:szCs w:val="18"/>
                <w:color w:val="auto"/>
              </w:rPr>
              <w:t>163</w:t>
            </w:r>
          </w:p>
        </w:tc>
        <w:tc>
          <w:tcPr>
            <w:tcW w:w="440" w:type="dxa"/>
            <w:vAlign w:val="bottom"/>
          </w:tcPr>
          <w:p>
            <w:pPr>
              <w:spacing w:after="0"/>
              <w:rPr>
                <w:sz w:val="16"/>
                <w:szCs w:val="16"/>
                <w:color w:val="auto"/>
              </w:rPr>
            </w:pPr>
          </w:p>
        </w:tc>
        <w:tc>
          <w:tcPr>
            <w:tcW w:w="680" w:type="dxa"/>
            <w:vAlign w:val="bottom"/>
          </w:tcPr>
          <w:p>
            <w:pPr>
              <w:jc w:val="right"/>
              <w:spacing w:after="0" w:line="193" w:lineRule="exact"/>
              <w:rPr>
                <w:sz w:val="20"/>
                <w:szCs w:val="20"/>
                <w:color w:val="auto"/>
              </w:rPr>
            </w:pPr>
            <w:r>
              <w:rPr>
                <w:rFonts w:ascii="Arial" w:cs="Arial" w:eastAsia="Arial" w:hAnsi="Arial"/>
                <w:sz w:val="18"/>
                <w:szCs w:val="18"/>
                <w:color w:val="auto"/>
              </w:rPr>
              <w:t>202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920" w:type="dxa"/>
            <w:vAlign w:val="bottom"/>
          </w:tcPr>
          <w:p>
            <w:pPr>
              <w:spacing w:after="0"/>
              <w:rPr>
                <w:sz w:val="20"/>
                <w:szCs w:val="20"/>
                <w:color w:val="auto"/>
              </w:rPr>
            </w:pPr>
            <w:r>
              <w:rPr>
                <w:rFonts w:ascii="Arial" w:cs="Arial" w:eastAsia="Arial" w:hAnsi="Arial"/>
                <w:sz w:val="18"/>
                <w:szCs w:val="18"/>
                <w:color w:val="auto"/>
              </w:rPr>
              <w:t>Nasdaq Stock Market (U.S.) Index</w:t>
            </w:r>
          </w:p>
        </w:tc>
        <w:tc>
          <w:tcPr>
            <w:tcW w:w="1180" w:type="dxa"/>
            <w:vAlign w:val="bottom"/>
            <w:gridSpan w:val="2"/>
          </w:tcPr>
          <w:p>
            <w:pPr>
              <w:ind w:left="440"/>
              <w:spacing w:after="0"/>
              <w:rPr>
                <w:sz w:val="20"/>
                <w:szCs w:val="20"/>
                <w:color w:val="auto"/>
              </w:rPr>
            </w:pPr>
            <w:r>
              <w:rPr>
                <w:rFonts w:ascii="Arial" w:cs="Arial" w:eastAsia="Arial" w:hAnsi="Arial"/>
                <w:sz w:val="18"/>
                <w:szCs w:val="18"/>
                <w:color w:val="auto"/>
              </w:rPr>
              <w:t>100</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60</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48</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33</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49</w:t>
            </w:r>
          </w:p>
        </w:tc>
        <w:tc>
          <w:tcPr>
            <w:tcW w:w="68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20" w:type="dxa"/>
            <w:vAlign w:val="bottom"/>
          </w:tcPr>
          <w:p>
            <w:pPr>
              <w:spacing w:after="0"/>
              <w:rPr>
                <w:sz w:val="20"/>
                <w:szCs w:val="20"/>
                <w:color w:val="auto"/>
              </w:rPr>
            </w:pPr>
            <w:r>
              <w:rPr>
                <w:rFonts w:ascii="Arial" w:cs="Arial" w:eastAsia="Arial" w:hAnsi="Arial"/>
                <w:sz w:val="18"/>
                <w:szCs w:val="18"/>
                <w:color w:val="auto"/>
              </w:rPr>
              <w:t>Nasdaq Bank Index</w:t>
            </w:r>
          </w:p>
        </w:tc>
        <w:tc>
          <w:tcPr>
            <w:tcW w:w="1180" w:type="dxa"/>
            <w:vAlign w:val="bottom"/>
            <w:gridSpan w:val="2"/>
          </w:tcPr>
          <w:p>
            <w:pPr>
              <w:ind w:left="440"/>
              <w:spacing w:after="0"/>
              <w:rPr>
                <w:sz w:val="20"/>
                <w:szCs w:val="20"/>
                <w:color w:val="auto"/>
              </w:rPr>
            </w:pPr>
            <w:r>
              <w:rPr>
                <w:rFonts w:ascii="Arial" w:cs="Arial" w:eastAsia="Arial" w:hAnsi="Arial"/>
                <w:sz w:val="18"/>
                <w:szCs w:val="18"/>
                <w:color w:val="auto"/>
              </w:rPr>
              <w:t>100</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114</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124</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127</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163</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385"/>
        </w:trPr>
        <w:tc>
          <w:tcPr>
            <w:tcW w:w="4920" w:type="dxa"/>
            <w:vAlign w:val="bottom"/>
          </w:tcPr>
          <w:p>
            <w:pPr>
              <w:spacing w:after="0"/>
              <w:rPr>
                <w:sz w:val="24"/>
                <w:szCs w:val="2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-14-</w:t>
            </w: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9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AND MANAGEMENT SHAREHOLDERS</w:t>
      </w:r>
    </w:p>
    <w:p>
      <w:pPr>
        <w:spacing w:after="0" w:line="197" w:lineRule="exact"/>
        <w:rPr>
          <w:sz w:val="20"/>
          <w:szCs w:val="20"/>
          <w:color w:val="auto"/>
        </w:rPr>
      </w:pPr>
    </w:p>
    <w:p>
      <w:pPr>
        <w:jc w:val="both"/>
        <w:ind w:right="260" w:firstLine="218"/>
        <w:spacing w:after="0" w:line="318" w:lineRule="auto"/>
        <w:rPr>
          <w:sz w:val="20"/>
          <w:szCs w:val="20"/>
          <w:color w:val="auto"/>
        </w:rPr>
      </w:pPr>
      <w:r>
        <w:rPr>
          <w:rFonts w:ascii="Arial" w:cs="Arial" w:eastAsia="Arial" w:hAnsi="Arial"/>
          <w:sz w:val="15"/>
          <w:szCs w:val="15"/>
          <w:color w:val="auto"/>
        </w:rPr>
        <w:t xml:space="preserve">The following table sets forth information regarding beneficial ownership of United’s common stock as of March 1, 2005. The percentage of beneficial ownership is based on 40,087,599 shares of United’s common stock outstanding as of such date, including 372,000 shares deemed outstanding pursuant to United’s prime plus </w:t>
      </w:r>
      <w:r>
        <w:rPr>
          <w:rFonts w:ascii="Arial" w:cs="Arial" w:eastAsia="Arial" w:hAnsi="Arial"/>
          <w:sz w:val="9"/>
          <w:szCs w:val="9"/>
          <w:color w:val="auto"/>
        </w:rPr>
        <w:t>1</w:t>
      </w:r>
      <w:r>
        <w:rPr>
          <w:rFonts w:ascii="Arial" w:cs="Arial" w:eastAsia="Arial" w:hAnsi="Arial"/>
          <w:sz w:val="15"/>
          <w:szCs w:val="15"/>
          <w:color w:val="auto"/>
        </w:rPr>
        <w:t>/</w:t>
      </w:r>
      <w:r>
        <w:rPr>
          <w:rFonts w:ascii="Arial" w:cs="Arial" w:eastAsia="Arial" w:hAnsi="Arial"/>
          <w:sz w:val="9"/>
          <w:szCs w:val="9"/>
          <w:color w:val="auto"/>
        </w:rPr>
        <w:t>4</w:t>
      </w:r>
      <w:r>
        <w:rPr>
          <w:rFonts w:ascii="Arial" w:cs="Arial" w:eastAsia="Arial" w:hAnsi="Arial"/>
          <w:sz w:val="15"/>
          <w:szCs w:val="15"/>
          <w:color w:val="auto"/>
        </w:rPr>
        <w:t>% Convertible Subordinated Payable-in-Kind Debentures due December 31, 2006 (“2006 Debentures”), and options exercisable within 60 days to acquire 1,523,685 shares, all outstanding as of March 1, 2005. The table sets forth such information with respect to:</w:t>
      </w:r>
    </w:p>
    <w:p>
      <w:pPr>
        <w:spacing w:after="0" w:line="147" w:lineRule="exact"/>
        <w:rPr>
          <w:sz w:val="20"/>
          <w:szCs w:val="20"/>
          <w:color w:val="auto"/>
        </w:rPr>
      </w:pPr>
    </w:p>
    <w:p>
      <w:pPr>
        <w:ind w:left="1020" w:hanging="444"/>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each shareholder who is known by us to beneficially own 5% or more of the common stock;</w:t>
      </w:r>
    </w:p>
    <w:p>
      <w:pPr>
        <w:spacing w:after="0" w:line="217" w:lineRule="exact"/>
        <w:rPr>
          <w:rFonts w:ascii="Arial" w:cs="Arial" w:eastAsia="Arial" w:hAnsi="Arial"/>
          <w:sz w:val="18"/>
          <w:szCs w:val="18"/>
          <w:color w:val="auto"/>
        </w:rPr>
      </w:pPr>
    </w:p>
    <w:p>
      <w:pPr>
        <w:ind w:left="1020" w:hanging="444"/>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each director;</w:t>
      </w:r>
    </w:p>
    <w:p>
      <w:pPr>
        <w:spacing w:after="0" w:line="217" w:lineRule="exact"/>
        <w:rPr>
          <w:rFonts w:ascii="Arial" w:cs="Arial" w:eastAsia="Arial" w:hAnsi="Arial"/>
          <w:sz w:val="18"/>
          <w:szCs w:val="18"/>
          <w:color w:val="auto"/>
        </w:rPr>
      </w:pPr>
    </w:p>
    <w:p>
      <w:pPr>
        <w:ind w:left="1020" w:hanging="444"/>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each named executive officer; and</w:t>
      </w:r>
    </w:p>
    <w:p>
      <w:pPr>
        <w:spacing w:after="0" w:line="217" w:lineRule="exact"/>
        <w:rPr>
          <w:rFonts w:ascii="Arial" w:cs="Arial" w:eastAsia="Arial" w:hAnsi="Arial"/>
          <w:sz w:val="18"/>
          <w:szCs w:val="18"/>
          <w:color w:val="auto"/>
        </w:rPr>
      </w:pPr>
    </w:p>
    <w:p>
      <w:pPr>
        <w:ind w:left="1020" w:hanging="444"/>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executive officers and directors as a group.</w:t>
      </w:r>
    </w:p>
    <w:p>
      <w:pPr>
        <w:spacing w:after="0" w:line="217" w:lineRule="exact"/>
        <w:rPr>
          <w:sz w:val="20"/>
          <w:szCs w:val="20"/>
          <w:color w:val="auto"/>
        </w:rPr>
      </w:pPr>
    </w:p>
    <w:p>
      <w:pPr>
        <w:ind w:right="420" w:firstLine="221"/>
        <w:spacing w:after="0" w:line="265" w:lineRule="auto"/>
        <w:rPr>
          <w:sz w:val="20"/>
          <w:szCs w:val="20"/>
          <w:color w:val="auto"/>
        </w:rPr>
      </w:pPr>
      <w:r>
        <w:rPr>
          <w:rFonts w:ascii="Arial" w:cs="Arial" w:eastAsia="Arial" w:hAnsi="Arial"/>
          <w:sz w:val="18"/>
          <w:szCs w:val="18"/>
          <w:color w:val="auto"/>
        </w:rPr>
        <w:t>Unless otherwise indicated, except under any applicable community property law or as otherwise indicated, each of the shareholders has sole voting and investment power with respect to the shares of common stock beneficially owned by such shareholder.</w:t>
      </w:r>
    </w:p>
    <w:p>
      <w:pPr>
        <w:spacing w:after="0" w:line="140" w:lineRule="exact"/>
        <w:rPr>
          <w:sz w:val="20"/>
          <w:szCs w:val="20"/>
          <w:color w:val="auto"/>
        </w:rPr>
      </w:pPr>
    </w:p>
    <w:p>
      <w:pPr>
        <w:ind w:right="200" w:firstLine="218"/>
        <w:spacing w:after="0" w:line="252" w:lineRule="auto"/>
        <w:rPr>
          <w:sz w:val="20"/>
          <w:szCs w:val="20"/>
          <w:color w:val="auto"/>
        </w:rPr>
      </w:pPr>
      <w:r>
        <w:rPr>
          <w:rFonts w:ascii="Arial" w:cs="Arial" w:eastAsia="Arial" w:hAnsi="Arial"/>
          <w:sz w:val="18"/>
          <w:szCs w:val="18"/>
          <w:color w:val="auto"/>
        </w:rPr>
        <w:t>The number of shares beneficially owned by each shareholder is determined under rules issued by the SEC. The information is not necessarily indicative of beneficial ownership for any other purpose. Under these rules, beneficial ownership includes any shares as to which the individual or entity has sole or shared voting power or investment power and any shares as to which the individual or entity has the right to acquire beneficial ownership with 60 days of March 1, 2005, through the exercise of any stock option or other right.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Beneficial Owner</w:t>
            </w:r>
          </w:p>
        </w:tc>
        <w:tc>
          <w:tcPr>
            <w:tcW w:w="2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gridSpan w:val="2"/>
          </w:tcPr>
          <w:p>
            <w:pPr>
              <w:jc w:val="right"/>
              <w:ind w:right="365"/>
              <w:spacing w:after="0"/>
              <w:rPr>
                <w:sz w:val="20"/>
                <w:szCs w:val="20"/>
                <w:color w:val="auto"/>
              </w:rPr>
            </w:pPr>
            <w:r>
              <w:rPr>
                <w:rFonts w:ascii="Arial" w:cs="Arial" w:eastAsia="Arial" w:hAnsi="Arial"/>
                <w:sz w:val="14"/>
                <w:szCs w:val="14"/>
                <w:b w:val="1"/>
                <w:bCs w:val="1"/>
                <w:color w:val="auto"/>
                <w:w w:val="91"/>
              </w:rPr>
              <w:t>Number of Shares</w:t>
            </w:r>
          </w:p>
        </w:tc>
        <w:tc>
          <w:tcPr>
            <w:tcW w:w="160" w:type="dxa"/>
            <w:vAlign w:val="bottom"/>
          </w:tcPr>
          <w:p>
            <w:pPr>
              <w:spacing w:after="0"/>
              <w:rPr>
                <w:sz w:val="14"/>
                <w:szCs w:val="14"/>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68"/>
        </w:trPr>
        <w:tc>
          <w:tcPr>
            <w:tcW w:w="5440" w:type="dxa"/>
            <w:vAlign w:val="bottom"/>
            <w:gridSpan w:val="3"/>
            <w:vMerge w:val="continue"/>
          </w:tcPr>
          <w:p>
            <w:pPr>
              <w:spacing w:after="0"/>
              <w:rPr>
                <w:sz w:val="14"/>
                <w:szCs w:val="14"/>
                <w:color w:val="auto"/>
              </w:rPr>
            </w:pPr>
          </w:p>
        </w:tc>
        <w:tc>
          <w:tcPr>
            <w:tcW w:w="2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gridSpan w:val="2"/>
          </w:tcPr>
          <w:p>
            <w:pPr>
              <w:jc w:val="right"/>
              <w:ind w:right="325"/>
              <w:spacing w:after="0"/>
              <w:rPr>
                <w:sz w:val="20"/>
                <w:szCs w:val="20"/>
                <w:color w:val="auto"/>
              </w:rPr>
            </w:pPr>
            <w:r>
              <w:rPr>
                <w:rFonts w:ascii="Arial" w:cs="Arial" w:eastAsia="Arial" w:hAnsi="Arial"/>
                <w:sz w:val="14"/>
                <w:szCs w:val="14"/>
                <w:b w:val="1"/>
                <w:bCs w:val="1"/>
                <w:color w:val="auto"/>
                <w:w w:val="88"/>
              </w:rPr>
              <w:t>Beneficially Owned</w:t>
            </w:r>
          </w:p>
        </w:tc>
        <w:tc>
          <w:tcPr>
            <w:tcW w:w="14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Beneficially Owned</w:t>
            </w:r>
          </w:p>
        </w:tc>
        <w:tc>
          <w:tcPr>
            <w:tcW w:w="0" w:type="dxa"/>
            <w:vAlign w:val="bottom"/>
          </w:tcPr>
          <w:p>
            <w:pPr>
              <w:spacing w:after="0"/>
              <w:rPr>
                <w:sz w:val="1"/>
                <w:szCs w:val="1"/>
                <w:color w:val="auto"/>
              </w:rPr>
            </w:pPr>
          </w:p>
        </w:tc>
      </w:tr>
      <w:tr>
        <w:trPr>
          <w:trHeight w:val="20"/>
        </w:trPr>
        <w:tc>
          <w:tcPr>
            <w:tcW w:w="2080" w:type="dxa"/>
            <w:vAlign w:val="bottom"/>
            <w:gridSpan w:val="2"/>
            <w:shd w:val="clear" w:color="auto" w:fill="000000"/>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00" w:type="dxa"/>
            <w:vAlign w:val="bottom"/>
            <w:vMerge w:val="restart"/>
          </w:tcPr>
          <w:p>
            <w:pPr>
              <w:jc w:val="right"/>
              <w:ind w:right="145"/>
              <w:spacing w:after="0"/>
              <w:rPr>
                <w:sz w:val="20"/>
                <w:szCs w:val="20"/>
                <w:color w:val="auto"/>
              </w:rPr>
            </w:pPr>
            <w:r>
              <w:rPr>
                <w:rFonts w:ascii="Arial" w:cs="Arial" w:eastAsia="Arial" w:hAnsi="Arial"/>
                <w:sz w:val="15"/>
                <w:szCs w:val="15"/>
                <w:color w:val="auto"/>
                <w:w w:val="87"/>
              </w:rPr>
              <w:t>(1)</w:t>
            </w:r>
          </w:p>
        </w:tc>
        <w:tc>
          <w:tcPr>
            <w:tcW w:w="16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440" w:type="dxa"/>
            <w:vAlign w:val="bottom"/>
            <w:gridSpan w:val="3"/>
          </w:tcPr>
          <w:p>
            <w:pPr>
              <w:spacing w:after="0" w:line="193" w:lineRule="exact"/>
              <w:rPr>
                <w:sz w:val="20"/>
                <w:szCs w:val="20"/>
                <w:color w:val="auto"/>
              </w:rPr>
            </w:pPr>
            <w:r>
              <w:rPr>
                <w:rFonts w:ascii="Arial" w:cs="Arial" w:eastAsia="Arial" w:hAnsi="Arial"/>
                <w:sz w:val="18"/>
                <w:szCs w:val="18"/>
                <w:color w:val="auto"/>
              </w:rPr>
              <w:t>Jimmy C. Tallent</w:t>
            </w:r>
          </w:p>
        </w:tc>
        <w:tc>
          <w:tcPr>
            <w:tcW w:w="262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1160" w:type="dxa"/>
            <w:vAlign w:val="bottom"/>
          </w:tcPr>
          <w:p>
            <w:pPr>
              <w:jc w:val="right"/>
              <w:spacing w:after="0" w:line="193" w:lineRule="exact"/>
              <w:rPr>
                <w:sz w:val="20"/>
                <w:szCs w:val="20"/>
                <w:color w:val="auto"/>
              </w:rPr>
            </w:pPr>
            <w:r>
              <w:rPr>
                <w:rFonts w:ascii="Arial" w:cs="Arial" w:eastAsia="Arial" w:hAnsi="Arial"/>
                <w:sz w:val="18"/>
                <w:szCs w:val="18"/>
                <w:color w:val="auto"/>
              </w:rPr>
              <w:t>702,966</w:t>
            </w:r>
          </w:p>
        </w:tc>
        <w:tc>
          <w:tcPr>
            <w:tcW w:w="40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320" w:type="dxa"/>
            <w:vAlign w:val="bottom"/>
            <w:gridSpan w:val="2"/>
          </w:tcPr>
          <w:p>
            <w:pPr>
              <w:jc w:val="right"/>
              <w:spacing w:after="0" w:line="193" w:lineRule="exact"/>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2"/>
        </w:trPr>
        <w:tc>
          <w:tcPr>
            <w:tcW w:w="5440" w:type="dxa"/>
            <w:vAlign w:val="bottom"/>
            <w:gridSpan w:val="3"/>
          </w:tcPr>
          <w:p>
            <w:pPr>
              <w:spacing w:after="0"/>
              <w:rPr>
                <w:sz w:val="20"/>
                <w:szCs w:val="20"/>
                <w:color w:val="auto"/>
              </w:rPr>
            </w:pPr>
            <w:r>
              <w:rPr>
                <w:rFonts w:ascii="Arial" w:cs="Arial" w:eastAsia="Arial" w:hAnsi="Arial"/>
                <w:sz w:val="18"/>
                <w:szCs w:val="18"/>
                <w:color w:val="auto"/>
              </w:rPr>
              <w:t>Robert L. Head, Jr.</w:t>
            </w:r>
          </w:p>
        </w:tc>
        <w:tc>
          <w:tcPr>
            <w:tcW w:w="4500" w:type="dxa"/>
            <w:vAlign w:val="bottom"/>
            <w:gridSpan w:val="4"/>
          </w:tcPr>
          <w:p>
            <w:pPr>
              <w:jc w:val="right"/>
              <w:ind w:right="145"/>
              <w:spacing w:after="0"/>
              <w:rPr>
                <w:sz w:val="20"/>
                <w:szCs w:val="20"/>
                <w:color w:val="auto"/>
              </w:rPr>
            </w:pPr>
            <w:r>
              <w:rPr>
                <w:rFonts w:ascii="Arial" w:cs="Arial" w:eastAsia="Arial" w:hAnsi="Arial"/>
                <w:sz w:val="18"/>
                <w:szCs w:val="18"/>
                <w:color w:val="auto"/>
              </w:rPr>
              <w:t>2,005,064</w:t>
            </w:r>
            <w:r>
              <w:rPr>
                <w:rFonts w:ascii="Arial" w:cs="Arial" w:eastAsia="Arial" w:hAnsi="Arial"/>
                <w:sz w:val="15"/>
                <w:szCs w:val="15"/>
                <w:color w:val="auto"/>
              </w:rPr>
              <w:t>(2)</w:t>
            </w:r>
          </w:p>
        </w:tc>
        <w:tc>
          <w:tcPr>
            <w:tcW w:w="1480" w:type="dxa"/>
            <w:vAlign w:val="bottom"/>
            <w:gridSpan w:val="3"/>
          </w:tcPr>
          <w:p>
            <w:pPr>
              <w:jc w:val="right"/>
              <w:ind w:right="16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2"/>
        </w:trPr>
        <w:tc>
          <w:tcPr>
            <w:tcW w:w="5440" w:type="dxa"/>
            <w:vAlign w:val="bottom"/>
            <w:gridSpan w:val="3"/>
          </w:tcPr>
          <w:p>
            <w:pPr>
              <w:spacing w:after="0"/>
              <w:rPr>
                <w:sz w:val="20"/>
                <w:szCs w:val="20"/>
                <w:color w:val="auto"/>
              </w:rPr>
            </w:pPr>
            <w:r>
              <w:rPr>
                <w:rFonts w:ascii="Arial" w:cs="Arial" w:eastAsia="Arial" w:hAnsi="Arial"/>
                <w:sz w:val="18"/>
                <w:szCs w:val="18"/>
                <w:color w:val="auto"/>
              </w:rPr>
              <w:t>W.C. Nelson, Jr.</w:t>
            </w:r>
          </w:p>
        </w:tc>
        <w:tc>
          <w:tcPr>
            <w:tcW w:w="4500" w:type="dxa"/>
            <w:vAlign w:val="bottom"/>
            <w:gridSpan w:val="4"/>
          </w:tcPr>
          <w:p>
            <w:pPr>
              <w:jc w:val="right"/>
              <w:ind w:right="145"/>
              <w:spacing w:after="0"/>
              <w:rPr>
                <w:sz w:val="20"/>
                <w:szCs w:val="20"/>
                <w:color w:val="auto"/>
              </w:rPr>
            </w:pPr>
            <w:r>
              <w:rPr>
                <w:rFonts w:ascii="Arial" w:cs="Arial" w:eastAsia="Arial" w:hAnsi="Arial"/>
                <w:sz w:val="18"/>
                <w:szCs w:val="18"/>
                <w:color w:val="auto"/>
              </w:rPr>
              <w:t>1,938,822</w:t>
            </w:r>
            <w:r>
              <w:rPr>
                <w:rFonts w:ascii="Arial" w:cs="Arial" w:eastAsia="Arial" w:hAnsi="Arial"/>
                <w:sz w:val="15"/>
                <w:szCs w:val="15"/>
                <w:color w:val="auto"/>
              </w:rPr>
              <w:t>(3)</w:t>
            </w:r>
          </w:p>
        </w:tc>
        <w:tc>
          <w:tcPr>
            <w:tcW w:w="1480" w:type="dxa"/>
            <w:vAlign w:val="bottom"/>
            <w:gridSpan w:val="3"/>
          </w:tcPr>
          <w:p>
            <w:pPr>
              <w:jc w:val="right"/>
              <w:ind w:right="16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12"/>
        </w:trPr>
        <w:tc>
          <w:tcPr>
            <w:tcW w:w="5440" w:type="dxa"/>
            <w:vAlign w:val="bottom"/>
            <w:gridSpan w:val="3"/>
          </w:tcPr>
          <w:p>
            <w:pPr>
              <w:spacing w:after="0"/>
              <w:rPr>
                <w:sz w:val="20"/>
                <w:szCs w:val="20"/>
                <w:color w:val="auto"/>
              </w:rPr>
            </w:pPr>
            <w:r>
              <w:rPr>
                <w:rFonts w:ascii="Arial" w:cs="Arial" w:eastAsia="Arial" w:hAnsi="Arial"/>
                <w:sz w:val="18"/>
                <w:szCs w:val="18"/>
                <w:color w:val="auto"/>
              </w:rPr>
              <w:t>A. William Bennett</w:t>
            </w:r>
          </w:p>
        </w:tc>
        <w:tc>
          <w:tcPr>
            <w:tcW w:w="4500" w:type="dxa"/>
            <w:vAlign w:val="bottom"/>
            <w:gridSpan w:val="4"/>
          </w:tcPr>
          <w:p>
            <w:pPr>
              <w:jc w:val="right"/>
              <w:ind w:right="325"/>
              <w:spacing w:after="0"/>
              <w:rPr>
                <w:sz w:val="20"/>
                <w:szCs w:val="20"/>
                <w:color w:val="auto"/>
              </w:rPr>
            </w:pPr>
            <w:r>
              <w:rPr>
                <w:rFonts w:ascii="Arial" w:cs="Arial" w:eastAsia="Arial" w:hAnsi="Arial"/>
                <w:sz w:val="18"/>
                <w:szCs w:val="18"/>
                <w:color w:val="auto"/>
              </w:rPr>
              <w:t>6,250</w:t>
            </w:r>
          </w:p>
        </w:tc>
        <w:tc>
          <w:tcPr>
            <w:tcW w:w="14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5440" w:type="dxa"/>
            <w:vAlign w:val="bottom"/>
            <w:gridSpan w:val="3"/>
          </w:tcPr>
          <w:p>
            <w:pPr>
              <w:spacing w:after="0"/>
              <w:rPr>
                <w:sz w:val="20"/>
                <w:szCs w:val="20"/>
                <w:color w:val="auto"/>
              </w:rPr>
            </w:pPr>
            <w:r>
              <w:rPr>
                <w:rFonts w:ascii="Arial" w:cs="Arial" w:eastAsia="Arial" w:hAnsi="Arial"/>
                <w:sz w:val="18"/>
                <w:szCs w:val="18"/>
                <w:color w:val="auto"/>
              </w:rPr>
              <w:t>Robert H. Blalock</w:t>
            </w:r>
          </w:p>
        </w:tc>
        <w:tc>
          <w:tcPr>
            <w:tcW w:w="4500" w:type="dxa"/>
            <w:vAlign w:val="bottom"/>
            <w:gridSpan w:val="4"/>
          </w:tcPr>
          <w:p>
            <w:pPr>
              <w:jc w:val="right"/>
              <w:ind w:right="145"/>
              <w:spacing w:after="0"/>
              <w:rPr>
                <w:sz w:val="20"/>
                <w:szCs w:val="20"/>
                <w:color w:val="auto"/>
              </w:rPr>
            </w:pPr>
            <w:r>
              <w:rPr>
                <w:rFonts w:ascii="Arial" w:cs="Arial" w:eastAsia="Arial" w:hAnsi="Arial"/>
                <w:sz w:val="18"/>
                <w:szCs w:val="18"/>
                <w:color w:val="auto"/>
              </w:rPr>
              <w:t>126,017</w:t>
            </w:r>
            <w:r>
              <w:rPr>
                <w:rFonts w:ascii="Arial" w:cs="Arial" w:eastAsia="Arial" w:hAnsi="Arial"/>
                <w:sz w:val="15"/>
                <w:szCs w:val="15"/>
                <w:color w:val="auto"/>
              </w:rPr>
              <w:t>(4)</w:t>
            </w:r>
          </w:p>
        </w:tc>
        <w:tc>
          <w:tcPr>
            <w:tcW w:w="14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5440" w:type="dxa"/>
            <w:vAlign w:val="bottom"/>
            <w:gridSpan w:val="3"/>
          </w:tcPr>
          <w:p>
            <w:pPr>
              <w:spacing w:after="0"/>
              <w:rPr>
                <w:sz w:val="20"/>
                <w:szCs w:val="20"/>
                <w:color w:val="auto"/>
              </w:rPr>
            </w:pPr>
            <w:r>
              <w:rPr>
                <w:rFonts w:ascii="Arial" w:cs="Arial" w:eastAsia="Arial" w:hAnsi="Arial"/>
                <w:sz w:val="18"/>
                <w:szCs w:val="18"/>
                <w:color w:val="auto"/>
              </w:rPr>
              <w:t>Guy W. Freeman</w:t>
            </w:r>
          </w:p>
        </w:tc>
        <w:tc>
          <w:tcPr>
            <w:tcW w:w="4500" w:type="dxa"/>
            <w:vAlign w:val="bottom"/>
            <w:gridSpan w:val="4"/>
          </w:tcPr>
          <w:p>
            <w:pPr>
              <w:jc w:val="right"/>
              <w:ind w:right="145"/>
              <w:spacing w:after="0"/>
              <w:rPr>
                <w:sz w:val="20"/>
                <w:szCs w:val="20"/>
                <w:color w:val="auto"/>
              </w:rPr>
            </w:pPr>
            <w:r>
              <w:rPr>
                <w:rFonts w:ascii="Arial" w:cs="Arial" w:eastAsia="Arial" w:hAnsi="Arial"/>
                <w:sz w:val="18"/>
                <w:szCs w:val="18"/>
                <w:color w:val="auto"/>
              </w:rPr>
              <w:t>189,895</w:t>
            </w:r>
            <w:r>
              <w:rPr>
                <w:rFonts w:ascii="Arial" w:cs="Arial" w:eastAsia="Arial" w:hAnsi="Arial"/>
                <w:sz w:val="15"/>
                <w:szCs w:val="15"/>
                <w:color w:val="auto"/>
              </w:rPr>
              <w:t>(5)</w:t>
            </w:r>
          </w:p>
        </w:tc>
        <w:tc>
          <w:tcPr>
            <w:tcW w:w="14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5440" w:type="dxa"/>
            <w:vAlign w:val="bottom"/>
            <w:gridSpan w:val="3"/>
          </w:tcPr>
          <w:p>
            <w:pPr>
              <w:spacing w:after="0"/>
              <w:rPr>
                <w:sz w:val="20"/>
                <w:szCs w:val="20"/>
                <w:color w:val="auto"/>
              </w:rPr>
            </w:pPr>
            <w:r>
              <w:rPr>
                <w:rFonts w:ascii="Arial" w:cs="Arial" w:eastAsia="Arial" w:hAnsi="Arial"/>
                <w:sz w:val="18"/>
                <w:szCs w:val="18"/>
                <w:color w:val="auto"/>
              </w:rPr>
              <w:t>Thomas C. Gilliland</w:t>
            </w:r>
          </w:p>
        </w:tc>
        <w:tc>
          <w:tcPr>
            <w:tcW w:w="4500" w:type="dxa"/>
            <w:vAlign w:val="bottom"/>
            <w:gridSpan w:val="4"/>
          </w:tcPr>
          <w:p>
            <w:pPr>
              <w:jc w:val="right"/>
              <w:ind w:right="145"/>
              <w:spacing w:after="0"/>
              <w:rPr>
                <w:sz w:val="20"/>
                <w:szCs w:val="20"/>
                <w:color w:val="auto"/>
              </w:rPr>
            </w:pPr>
            <w:r>
              <w:rPr>
                <w:rFonts w:ascii="Arial" w:cs="Arial" w:eastAsia="Arial" w:hAnsi="Arial"/>
                <w:sz w:val="18"/>
                <w:szCs w:val="18"/>
                <w:color w:val="auto"/>
              </w:rPr>
              <w:t>629,672</w:t>
            </w:r>
            <w:r>
              <w:rPr>
                <w:rFonts w:ascii="Arial" w:cs="Arial" w:eastAsia="Arial" w:hAnsi="Arial"/>
                <w:sz w:val="15"/>
                <w:szCs w:val="15"/>
                <w:color w:val="auto"/>
              </w:rPr>
              <w:t>(6)</w:t>
            </w:r>
          </w:p>
        </w:tc>
        <w:tc>
          <w:tcPr>
            <w:tcW w:w="1480" w:type="dxa"/>
            <w:vAlign w:val="bottom"/>
            <w:gridSpan w:val="3"/>
          </w:tcPr>
          <w:p>
            <w:pPr>
              <w:jc w:val="right"/>
              <w:ind w:right="16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2"/>
        </w:trPr>
        <w:tc>
          <w:tcPr>
            <w:tcW w:w="5440" w:type="dxa"/>
            <w:vAlign w:val="bottom"/>
            <w:gridSpan w:val="3"/>
          </w:tcPr>
          <w:p>
            <w:pPr>
              <w:spacing w:after="0"/>
              <w:rPr>
                <w:sz w:val="20"/>
                <w:szCs w:val="20"/>
                <w:color w:val="auto"/>
              </w:rPr>
            </w:pPr>
            <w:r>
              <w:rPr>
                <w:rFonts w:ascii="Arial" w:cs="Arial" w:eastAsia="Arial" w:hAnsi="Arial"/>
                <w:sz w:val="18"/>
                <w:szCs w:val="18"/>
                <w:color w:val="auto"/>
              </w:rPr>
              <w:t>Charles E. Hill</w:t>
            </w:r>
          </w:p>
        </w:tc>
        <w:tc>
          <w:tcPr>
            <w:tcW w:w="4500" w:type="dxa"/>
            <w:vAlign w:val="bottom"/>
            <w:gridSpan w:val="4"/>
          </w:tcPr>
          <w:p>
            <w:pPr>
              <w:jc w:val="right"/>
              <w:ind w:right="145"/>
              <w:spacing w:after="0"/>
              <w:rPr>
                <w:sz w:val="20"/>
                <w:szCs w:val="20"/>
                <w:color w:val="auto"/>
              </w:rPr>
            </w:pPr>
            <w:r>
              <w:rPr>
                <w:rFonts w:ascii="Arial" w:cs="Arial" w:eastAsia="Arial" w:hAnsi="Arial"/>
                <w:sz w:val="18"/>
                <w:szCs w:val="18"/>
                <w:color w:val="auto"/>
              </w:rPr>
              <w:t>601,796</w:t>
            </w:r>
            <w:r>
              <w:rPr>
                <w:rFonts w:ascii="Arial" w:cs="Arial" w:eastAsia="Arial" w:hAnsi="Arial"/>
                <w:sz w:val="15"/>
                <w:szCs w:val="15"/>
                <w:color w:val="auto"/>
              </w:rPr>
              <w:t>(7)</w:t>
            </w:r>
          </w:p>
        </w:tc>
        <w:tc>
          <w:tcPr>
            <w:tcW w:w="1480" w:type="dxa"/>
            <w:vAlign w:val="bottom"/>
            <w:gridSpan w:val="3"/>
          </w:tcPr>
          <w:p>
            <w:pPr>
              <w:jc w:val="right"/>
              <w:ind w:right="1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2"/>
        </w:trPr>
        <w:tc>
          <w:tcPr>
            <w:tcW w:w="5440" w:type="dxa"/>
            <w:vAlign w:val="bottom"/>
            <w:gridSpan w:val="3"/>
          </w:tcPr>
          <w:p>
            <w:pPr>
              <w:spacing w:after="0"/>
              <w:rPr>
                <w:sz w:val="20"/>
                <w:szCs w:val="20"/>
                <w:color w:val="auto"/>
              </w:rPr>
            </w:pPr>
            <w:r>
              <w:rPr>
                <w:rFonts w:ascii="Arial" w:cs="Arial" w:eastAsia="Arial" w:hAnsi="Arial"/>
                <w:sz w:val="18"/>
                <w:szCs w:val="18"/>
                <w:color w:val="auto"/>
              </w:rPr>
              <w:t>Hoyt O. Holloway</w:t>
            </w:r>
          </w:p>
        </w:tc>
        <w:tc>
          <w:tcPr>
            <w:tcW w:w="4500" w:type="dxa"/>
            <w:vAlign w:val="bottom"/>
            <w:gridSpan w:val="4"/>
          </w:tcPr>
          <w:p>
            <w:pPr>
              <w:jc w:val="right"/>
              <w:ind w:right="145"/>
              <w:spacing w:after="0"/>
              <w:rPr>
                <w:sz w:val="20"/>
                <w:szCs w:val="20"/>
                <w:color w:val="auto"/>
              </w:rPr>
            </w:pPr>
            <w:r>
              <w:rPr>
                <w:rFonts w:ascii="Arial" w:cs="Arial" w:eastAsia="Arial" w:hAnsi="Arial"/>
                <w:sz w:val="18"/>
                <w:szCs w:val="18"/>
                <w:color w:val="auto"/>
              </w:rPr>
              <w:t>150,672</w:t>
            </w:r>
            <w:r>
              <w:rPr>
                <w:rFonts w:ascii="Arial" w:cs="Arial" w:eastAsia="Arial" w:hAnsi="Arial"/>
                <w:sz w:val="15"/>
                <w:szCs w:val="15"/>
                <w:color w:val="auto"/>
              </w:rPr>
              <w:t>(8)</w:t>
            </w:r>
          </w:p>
        </w:tc>
        <w:tc>
          <w:tcPr>
            <w:tcW w:w="14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5440" w:type="dxa"/>
            <w:vAlign w:val="bottom"/>
            <w:gridSpan w:val="3"/>
          </w:tcPr>
          <w:p>
            <w:pPr>
              <w:spacing w:after="0"/>
              <w:rPr>
                <w:sz w:val="20"/>
                <w:szCs w:val="20"/>
                <w:color w:val="auto"/>
              </w:rPr>
            </w:pPr>
            <w:r>
              <w:rPr>
                <w:rFonts w:ascii="Arial" w:cs="Arial" w:eastAsia="Arial" w:hAnsi="Arial"/>
                <w:sz w:val="18"/>
                <w:szCs w:val="18"/>
                <w:color w:val="auto"/>
              </w:rPr>
              <w:t>Clarence W. Mason, Sr.</w:t>
            </w:r>
          </w:p>
        </w:tc>
        <w:tc>
          <w:tcPr>
            <w:tcW w:w="4500" w:type="dxa"/>
            <w:vAlign w:val="bottom"/>
            <w:gridSpan w:val="4"/>
          </w:tcPr>
          <w:p>
            <w:pPr>
              <w:jc w:val="right"/>
              <w:ind w:right="145"/>
              <w:spacing w:after="0"/>
              <w:rPr>
                <w:sz w:val="20"/>
                <w:szCs w:val="20"/>
                <w:color w:val="auto"/>
              </w:rPr>
            </w:pPr>
            <w:r>
              <w:rPr>
                <w:rFonts w:ascii="Arial" w:cs="Arial" w:eastAsia="Arial" w:hAnsi="Arial"/>
                <w:sz w:val="18"/>
                <w:szCs w:val="18"/>
                <w:color w:val="auto"/>
              </w:rPr>
              <w:t>204,762</w:t>
            </w:r>
            <w:r>
              <w:rPr>
                <w:rFonts w:ascii="Arial" w:cs="Arial" w:eastAsia="Arial" w:hAnsi="Arial"/>
                <w:sz w:val="15"/>
                <w:szCs w:val="15"/>
                <w:color w:val="auto"/>
              </w:rPr>
              <w:t>(9)</w:t>
            </w:r>
          </w:p>
        </w:tc>
        <w:tc>
          <w:tcPr>
            <w:tcW w:w="14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5440" w:type="dxa"/>
            <w:vAlign w:val="bottom"/>
            <w:gridSpan w:val="3"/>
          </w:tcPr>
          <w:p>
            <w:pPr>
              <w:spacing w:after="0"/>
              <w:rPr>
                <w:sz w:val="20"/>
                <w:szCs w:val="20"/>
                <w:color w:val="auto"/>
              </w:rPr>
            </w:pPr>
            <w:r>
              <w:rPr>
                <w:rFonts w:ascii="Arial" w:cs="Arial" w:eastAsia="Arial" w:hAnsi="Arial"/>
                <w:sz w:val="18"/>
                <w:szCs w:val="18"/>
                <w:color w:val="auto"/>
              </w:rPr>
              <w:t>Tim Wallis</w:t>
            </w:r>
          </w:p>
        </w:tc>
        <w:tc>
          <w:tcPr>
            <w:tcW w:w="4500" w:type="dxa"/>
            <w:vAlign w:val="bottom"/>
            <w:gridSpan w:val="4"/>
          </w:tcPr>
          <w:p>
            <w:pPr>
              <w:jc w:val="right"/>
              <w:ind w:right="325"/>
              <w:spacing w:after="0"/>
              <w:rPr>
                <w:sz w:val="20"/>
                <w:szCs w:val="20"/>
                <w:color w:val="auto"/>
              </w:rPr>
            </w:pPr>
            <w:r>
              <w:rPr>
                <w:rFonts w:ascii="Arial" w:cs="Arial" w:eastAsia="Arial" w:hAnsi="Arial"/>
                <w:sz w:val="18"/>
                <w:szCs w:val="18"/>
                <w:color w:val="auto"/>
              </w:rPr>
              <w:t>161,502</w:t>
            </w:r>
          </w:p>
        </w:tc>
        <w:tc>
          <w:tcPr>
            <w:tcW w:w="14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5440" w:type="dxa"/>
            <w:vAlign w:val="bottom"/>
            <w:gridSpan w:val="3"/>
          </w:tcPr>
          <w:p>
            <w:pPr>
              <w:spacing w:after="0"/>
              <w:rPr>
                <w:sz w:val="20"/>
                <w:szCs w:val="20"/>
                <w:color w:val="auto"/>
              </w:rPr>
            </w:pPr>
            <w:r>
              <w:rPr>
                <w:rFonts w:ascii="Arial" w:cs="Arial" w:eastAsia="Arial" w:hAnsi="Arial"/>
                <w:sz w:val="18"/>
                <w:szCs w:val="18"/>
                <w:color w:val="auto"/>
              </w:rPr>
              <w:t>Rex S. Schuette</w:t>
            </w:r>
          </w:p>
        </w:tc>
        <w:tc>
          <w:tcPr>
            <w:tcW w:w="4500" w:type="dxa"/>
            <w:vAlign w:val="bottom"/>
            <w:gridSpan w:val="4"/>
          </w:tcPr>
          <w:p>
            <w:pPr>
              <w:jc w:val="right"/>
              <w:ind w:right="85"/>
              <w:spacing w:after="0"/>
              <w:rPr>
                <w:sz w:val="20"/>
                <w:szCs w:val="20"/>
                <w:color w:val="auto"/>
              </w:rPr>
            </w:pPr>
            <w:r>
              <w:rPr>
                <w:rFonts w:ascii="Arial" w:cs="Arial" w:eastAsia="Arial" w:hAnsi="Arial"/>
                <w:sz w:val="18"/>
                <w:szCs w:val="18"/>
                <w:color w:val="auto"/>
              </w:rPr>
              <w:t>137,331</w:t>
            </w:r>
            <w:r>
              <w:rPr>
                <w:rFonts w:ascii="Arial" w:cs="Arial" w:eastAsia="Arial" w:hAnsi="Arial"/>
                <w:sz w:val="15"/>
                <w:szCs w:val="15"/>
                <w:color w:val="auto"/>
              </w:rPr>
              <w:t>(10)</w:t>
            </w:r>
          </w:p>
        </w:tc>
        <w:tc>
          <w:tcPr>
            <w:tcW w:w="14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5440" w:type="dxa"/>
            <w:vAlign w:val="bottom"/>
            <w:gridSpan w:val="3"/>
          </w:tcPr>
          <w:p>
            <w:pPr>
              <w:spacing w:after="0"/>
              <w:rPr>
                <w:sz w:val="20"/>
                <w:szCs w:val="20"/>
                <w:color w:val="auto"/>
              </w:rPr>
            </w:pPr>
            <w:r>
              <w:rPr>
                <w:rFonts w:ascii="Arial" w:cs="Arial" w:eastAsia="Arial" w:hAnsi="Arial"/>
                <w:sz w:val="18"/>
                <w:szCs w:val="18"/>
                <w:color w:val="auto"/>
              </w:rPr>
              <w:t>Ray K. Williams</w:t>
            </w:r>
          </w:p>
        </w:tc>
        <w:tc>
          <w:tcPr>
            <w:tcW w:w="4500" w:type="dxa"/>
            <w:vAlign w:val="bottom"/>
            <w:gridSpan w:val="4"/>
          </w:tcPr>
          <w:p>
            <w:pPr>
              <w:jc w:val="right"/>
              <w:ind w:right="85"/>
              <w:spacing w:after="0"/>
              <w:rPr>
                <w:sz w:val="20"/>
                <w:szCs w:val="20"/>
                <w:color w:val="auto"/>
              </w:rPr>
            </w:pPr>
            <w:r>
              <w:rPr>
                <w:rFonts w:ascii="Arial" w:cs="Arial" w:eastAsia="Arial" w:hAnsi="Arial"/>
                <w:sz w:val="18"/>
                <w:szCs w:val="18"/>
                <w:color w:val="auto"/>
              </w:rPr>
              <w:t>29,548</w:t>
            </w:r>
            <w:r>
              <w:rPr>
                <w:rFonts w:ascii="Arial" w:cs="Arial" w:eastAsia="Arial" w:hAnsi="Arial"/>
                <w:sz w:val="15"/>
                <w:szCs w:val="15"/>
                <w:color w:val="auto"/>
              </w:rPr>
              <w:t>(11)</w:t>
            </w:r>
          </w:p>
        </w:tc>
        <w:tc>
          <w:tcPr>
            <w:tcW w:w="14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5440" w:type="dxa"/>
            <w:vAlign w:val="bottom"/>
            <w:gridSpan w:val="3"/>
          </w:tcPr>
          <w:p>
            <w:pPr>
              <w:spacing w:after="0"/>
              <w:rPr>
                <w:sz w:val="20"/>
                <w:szCs w:val="20"/>
                <w:color w:val="auto"/>
              </w:rPr>
            </w:pPr>
            <w:r>
              <w:rPr>
                <w:rFonts w:ascii="Arial" w:cs="Arial" w:eastAsia="Arial" w:hAnsi="Arial"/>
                <w:sz w:val="18"/>
                <w:szCs w:val="18"/>
                <w:color w:val="auto"/>
              </w:rPr>
              <w:t>All directors and executive officers as a group (16 persons)</w:t>
            </w:r>
          </w:p>
        </w:tc>
        <w:tc>
          <w:tcPr>
            <w:tcW w:w="4500" w:type="dxa"/>
            <w:vAlign w:val="bottom"/>
            <w:gridSpan w:val="4"/>
          </w:tcPr>
          <w:p>
            <w:pPr>
              <w:jc w:val="right"/>
              <w:ind w:right="85"/>
              <w:spacing w:after="0"/>
              <w:rPr>
                <w:sz w:val="20"/>
                <w:szCs w:val="20"/>
                <w:color w:val="auto"/>
              </w:rPr>
            </w:pPr>
            <w:r>
              <w:rPr>
                <w:rFonts w:ascii="Arial" w:cs="Arial" w:eastAsia="Arial" w:hAnsi="Arial"/>
                <w:sz w:val="18"/>
                <w:szCs w:val="18"/>
                <w:color w:val="auto"/>
              </w:rPr>
              <w:t>6,957,346</w:t>
            </w:r>
            <w:r>
              <w:rPr>
                <w:rFonts w:ascii="Arial" w:cs="Arial" w:eastAsia="Arial" w:hAnsi="Arial"/>
                <w:sz w:val="15"/>
                <w:szCs w:val="15"/>
                <w:color w:val="auto"/>
              </w:rPr>
              <w:t>(12)</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17.36%</w:t>
            </w:r>
          </w:p>
        </w:tc>
        <w:tc>
          <w:tcPr>
            <w:tcW w:w="0" w:type="dxa"/>
            <w:vAlign w:val="bottom"/>
          </w:tcPr>
          <w:p>
            <w:pPr>
              <w:spacing w:after="0"/>
              <w:rPr>
                <w:sz w:val="1"/>
                <w:szCs w:val="1"/>
                <w:color w:val="auto"/>
              </w:rPr>
            </w:pPr>
          </w:p>
        </w:tc>
      </w:tr>
      <w:tr>
        <w:trPr>
          <w:trHeight w:val="195"/>
        </w:trPr>
        <w:tc>
          <w:tcPr>
            <w:tcW w:w="2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spacing w:after="0"/>
              <w:rPr>
                <w:sz w:val="16"/>
                <w:szCs w:val="16"/>
                <w:color w:val="auto"/>
              </w:rPr>
            </w:pPr>
          </w:p>
        </w:tc>
        <w:tc>
          <w:tcPr>
            <w:tcW w:w="33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0"/>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5160" w:type="dxa"/>
            <w:vAlign w:val="bottom"/>
            <w:gridSpan w:val="2"/>
          </w:tcPr>
          <w:p>
            <w:pPr>
              <w:ind w:left="200"/>
              <w:spacing w:after="0"/>
              <w:rPr>
                <w:sz w:val="20"/>
                <w:szCs w:val="20"/>
                <w:color w:val="auto"/>
              </w:rPr>
            </w:pPr>
            <w:r>
              <w:rPr>
                <w:rFonts w:ascii="Arial" w:cs="Arial" w:eastAsia="Arial" w:hAnsi="Arial"/>
                <w:sz w:val="18"/>
                <w:szCs w:val="18"/>
                <w:color w:val="auto"/>
                <w:w w:val="89"/>
              </w:rPr>
              <w:t>Represents less than 1% of the outstanding shares of common stock.</w:t>
            </w:r>
          </w:p>
        </w:tc>
        <w:tc>
          <w:tcPr>
            <w:tcW w:w="2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620" w:type="dxa"/>
            <w:vAlign w:val="bottom"/>
          </w:tcPr>
          <w:p>
            <w:pPr>
              <w:jc w:val="right"/>
              <w:ind w:right="2112"/>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80" w:type="dxa"/>
            <w:vAlign w:val="bottom"/>
            <w:tcBorders>
              <w:bottom w:val="single" w:sz="8" w:color="808080"/>
            </w:tcBorders>
          </w:tcPr>
          <w:p>
            <w:pPr>
              <w:spacing w:after="0"/>
              <w:rPr>
                <w:sz w:val="19"/>
                <w:szCs w:val="19"/>
                <w:color w:val="auto"/>
              </w:rPr>
            </w:pPr>
          </w:p>
        </w:tc>
        <w:tc>
          <w:tcPr>
            <w:tcW w:w="1800" w:type="dxa"/>
            <w:vAlign w:val="bottom"/>
            <w:tcBorders>
              <w:bottom w:val="single" w:sz="8" w:color="808080"/>
            </w:tcBorders>
          </w:tcPr>
          <w:p>
            <w:pPr>
              <w:spacing w:after="0"/>
              <w:rPr>
                <w:sz w:val="19"/>
                <w:szCs w:val="19"/>
                <w:color w:val="auto"/>
              </w:rPr>
            </w:pPr>
          </w:p>
        </w:tc>
        <w:tc>
          <w:tcPr>
            <w:tcW w:w="3360" w:type="dxa"/>
            <w:vAlign w:val="bottom"/>
            <w:tcBorders>
              <w:bottom w:val="single" w:sz="8" w:color="808080"/>
            </w:tcBorders>
          </w:tcPr>
          <w:p>
            <w:pPr>
              <w:spacing w:after="0"/>
              <w:rPr>
                <w:sz w:val="19"/>
                <w:szCs w:val="19"/>
                <w:color w:val="auto"/>
              </w:rPr>
            </w:pPr>
          </w:p>
        </w:tc>
        <w:tc>
          <w:tcPr>
            <w:tcW w:w="26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620" w:right="240" w:hanging="614"/>
        <w:spacing w:after="0" w:line="366" w:lineRule="auto"/>
        <w:tabs>
          <w:tab w:leader="none" w:pos="6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Includes 33,000 shares beneficially owned pursuant to the 2006 Debentures, 240,250 shares beneficially owned pursuant to stock options exercisable within 60 days of March 1, 2005, 2,813 shares of beneficially owned restricted stock, and 375 shares owned by Mr. Tallent’s wife.</w:t>
      </w:r>
    </w:p>
    <w:p>
      <w:pPr>
        <w:spacing w:after="0" w:line="110" w:lineRule="exact"/>
        <w:rPr>
          <w:rFonts w:ascii="Arial" w:cs="Arial" w:eastAsia="Arial" w:hAnsi="Arial"/>
          <w:sz w:val="15"/>
          <w:szCs w:val="15"/>
          <w:color w:val="auto"/>
        </w:rPr>
      </w:pPr>
    </w:p>
    <w:p>
      <w:pPr>
        <w:ind w:left="620" w:right="380" w:hanging="614"/>
        <w:spacing w:after="0" w:line="366" w:lineRule="auto"/>
        <w:tabs>
          <w:tab w:leader="none" w:pos="6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Includes 30,000 shares beneficially owned pursuant to the 2006 Debentures, 289,665 shares beneficially owned by a trust over which Mr. Head has voting power, and 59,997 shares owned by Mr. Head’s wife. Mr. Head’s mailing address is P.O. Box 147, Blairsville, Georgia 30514.</w:t>
      </w:r>
    </w:p>
    <w:p>
      <w:pPr>
        <w:spacing w:after="0" w:line="110" w:lineRule="exact"/>
        <w:rPr>
          <w:rFonts w:ascii="Arial" w:cs="Arial" w:eastAsia="Arial" w:hAnsi="Arial"/>
          <w:sz w:val="15"/>
          <w:szCs w:val="15"/>
          <w:color w:val="auto"/>
        </w:rPr>
      </w:pPr>
    </w:p>
    <w:p>
      <w:pPr>
        <w:ind w:left="620" w:right="100" w:hanging="614"/>
        <w:spacing w:after="0" w:line="366" w:lineRule="auto"/>
        <w:tabs>
          <w:tab w:leader="none" w:pos="6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Includes 30,000 shares beneficially owned pursuant to the 2006 Debentures, 17,742 shares owned by Mr. Nelson’s minor grandchildren for which he is custodian, 1,350 shares owned by Conag Rentals, Inc., a company owned by Mr. Nelson, and 50,178 shares owned by Mr. Nelson’s wife.</w:t>
      </w:r>
    </w:p>
    <w:p>
      <w:pPr>
        <w:spacing w:after="0" w:line="110" w:lineRule="exact"/>
        <w:rPr>
          <w:rFonts w:ascii="Arial" w:cs="Arial" w:eastAsia="Arial" w:hAnsi="Arial"/>
          <w:sz w:val="15"/>
          <w:szCs w:val="15"/>
          <w:color w:val="auto"/>
        </w:rPr>
      </w:pPr>
    </w:p>
    <w:p>
      <w:pPr>
        <w:ind w:left="620" w:hanging="614"/>
        <w:spacing w:after="0" w:line="265" w:lineRule="auto"/>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120 shares owned by Mr. Blalock’s child for which he is custodian, 92,979 shares owned by Blalock Insurance Agency, Inc., a company owned by Mr. Blalock, and 6,402 shares owned by Mr. Blalock’s wife.</w:t>
      </w:r>
    </w:p>
    <w:p>
      <w:pPr>
        <w:spacing w:after="0" w:line="179" w:lineRule="exact"/>
        <w:rPr>
          <w:rFonts w:ascii="Arial" w:cs="Arial" w:eastAsia="Arial" w:hAnsi="Arial"/>
          <w:sz w:val="18"/>
          <w:szCs w:val="18"/>
          <w:color w:val="auto"/>
        </w:rPr>
      </w:pPr>
    </w:p>
    <w:p>
      <w:pPr>
        <w:ind w:left="620" w:right="340" w:hanging="614"/>
        <w:spacing w:after="0" w:line="366" w:lineRule="auto"/>
        <w:tabs>
          <w:tab w:leader="none" w:pos="6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Includes 18,000 shares beneficially owned pursuant to the 2006 Debentures, 67,199 shares beneficially owned pursuant to stock options exercisable within 60 days of March 1, 2005, 1,650 shares of beneficially owned restricted stock, and 2,070 shares owned by Mr. Freeman’s wife.</w:t>
      </w:r>
    </w:p>
    <w:p>
      <w:pPr>
        <w:spacing w:after="0" w:line="110" w:lineRule="exact"/>
        <w:rPr>
          <w:rFonts w:ascii="Arial" w:cs="Arial" w:eastAsia="Arial" w:hAnsi="Arial"/>
          <w:sz w:val="15"/>
          <w:szCs w:val="15"/>
          <w:color w:val="auto"/>
        </w:rPr>
      </w:pPr>
    </w:p>
    <w:p>
      <w:pPr>
        <w:ind w:left="620" w:right="200" w:hanging="614"/>
        <w:spacing w:after="0" w:line="255" w:lineRule="auto"/>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30,000 shares beneficially owned pursuant to the 2006 Debentures, 20,450 shares beneficially owned by Mr. Gilliland as custodian for his children, 82,200 shares beneficially owned pursuant to stock options exercisable within 60 days of March 1, 2005, 1,425 shares of beneficially owned restricted stock, and 414,056 shares owned by Mr. Gilliland’s wife.</w:t>
      </w:r>
    </w:p>
    <w:p>
      <w:pPr>
        <w:spacing w:after="0" w:line="188" w:lineRule="exact"/>
        <w:rPr>
          <w:rFonts w:ascii="Arial" w:cs="Arial" w:eastAsia="Arial" w:hAnsi="Arial"/>
          <w:sz w:val="18"/>
          <w:szCs w:val="18"/>
          <w:color w:val="auto"/>
        </w:rPr>
      </w:pPr>
    </w:p>
    <w:p>
      <w:pPr>
        <w:ind w:left="620" w:hanging="614"/>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30,000 shares beneficially owned pursuant to the 2006 Debentures, and 237,204 shares owned or controlled by Mr. Hill’s wife.</w:t>
      </w:r>
    </w:p>
    <w:p>
      <w:pPr>
        <w:spacing w:after="0" w:line="217" w:lineRule="exact"/>
        <w:rPr>
          <w:rFonts w:ascii="Arial" w:cs="Arial" w:eastAsia="Arial" w:hAnsi="Arial"/>
          <w:sz w:val="18"/>
          <w:szCs w:val="18"/>
          <w:color w:val="auto"/>
        </w:rPr>
      </w:pPr>
    </w:p>
    <w:p>
      <w:pPr>
        <w:ind w:left="620" w:right="80" w:hanging="614"/>
        <w:spacing w:after="0" w:line="265" w:lineRule="auto"/>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30,000 shares beneficially owned pursuant to the 2006 Debentures, 85,356 shares owned by Holloway Motors, Inc., a company wholly owned by Mr. Holloway, and 1,455 shares owned by Mr. Holloway’s wife.</w:t>
      </w:r>
    </w:p>
    <w:p>
      <w:pPr>
        <w:spacing w:after="0" w:line="179" w:lineRule="exact"/>
        <w:rPr>
          <w:rFonts w:ascii="Arial" w:cs="Arial" w:eastAsia="Arial" w:hAnsi="Arial"/>
          <w:sz w:val="18"/>
          <w:szCs w:val="18"/>
          <w:color w:val="auto"/>
        </w:rPr>
      </w:pPr>
    </w:p>
    <w:p>
      <w:pPr>
        <w:ind w:left="620" w:right="640" w:hanging="614"/>
        <w:spacing w:after="0" w:line="265" w:lineRule="auto"/>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30,000 shares beneficially owned pursuant to the 2006 Debentures, 62,727 shares owned by Mason Family Partnership, L.P. for which Mr. Mason has voting power, and 50,874 shares owned by Mr. Mason’s wife.</w:t>
      </w:r>
    </w:p>
    <w:p>
      <w:pPr>
        <w:spacing w:after="0" w:line="179" w:lineRule="exact"/>
        <w:rPr>
          <w:rFonts w:ascii="Arial" w:cs="Arial" w:eastAsia="Arial" w:hAnsi="Arial"/>
          <w:sz w:val="18"/>
          <w:szCs w:val="18"/>
          <w:color w:val="auto"/>
        </w:rPr>
      </w:pPr>
    </w:p>
    <w:p>
      <w:pPr>
        <w:ind w:left="620" w:right="440" w:hanging="614"/>
        <w:spacing w:after="0" w:line="265" w:lineRule="auto"/>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85,200 shares beneficially owned pursuant to stock options exercisable within 60 days of March 1, 2005, and 1,500 shares of beneficially owned restricted stock.</w:t>
      </w:r>
    </w:p>
    <w:p>
      <w:pPr>
        <w:spacing w:after="0" w:line="179" w:lineRule="exact"/>
        <w:rPr>
          <w:rFonts w:ascii="Arial" w:cs="Arial" w:eastAsia="Arial" w:hAnsi="Arial"/>
          <w:sz w:val="18"/>
          <w:szCs w:val="18"/>
          <w:color w:val="auto"/>
        </w:rPr>
      </w:pPr>
    </w:p>
    <w:p>
      <w:pPr>
        <w:ind w:left="620" w:right="40" w:hanging="614"/>
        <w:spacing w:after="0" w:line="265" w:lineRule="auto"/>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19,500 shares beneficially owned pursuant to stock options exercisable within 60 days of March 1, 2005, and 825 shares of beneficially owned restricted stock.</w:t>
      </w:r>
    </w:p>
    <w:p>
      <w:pPr>
        <w:spacing w:after="0" w:line="179" w:lineRule="exact"/>
        <w:rPr>
          <w:rFonts w:ascii="Arial" w:cs="Arial" w:eastAsia="Arial" w:hAnsi="Arial"/>
          <w:sz w:val="18"/>
          <w:szCs w:val="18"/>
          <w:color w:val="auto"/>
        </w:rPr>
      </w:pPr>
    </w:p>
    <w:p>
      <w:pPr>
        <w:ind w:left="620" w:right="160" w:hanging="614"/>
        <w:spacing w:after="0" w:line="265" w:lineRule="auto"/>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231,000 shares beneficially owned pursuant to the 2006 Debentures, 544,270 shares beneficially owned pursuant to stock options exercisable within 60 days of March 1, 2005, and 9,038 shares of beneficially owned restricted stock.</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84" w:lineRule="exact"/>
        <w:rPr>
          <w:sz w:val="20"/>
          <w:szCs w:val="20"/>
          <w:color w:val="auto"/>
        </w:rPr>
      </w:pPr>
    </w:p>
    <w:p>
      <w:pPr>
        <w:ind w:right="200" w:firstLine="221"/>
        <w:spacing w:after="0" w:line="271" w:lineRule="auto"/>
        <w:rPr>
          <w:sz w:val="20"/>
          <w:szCs w:val="20"/>
          <w:color w:val="auto"/>
        </w:rPr>
      </w:pPr>
      <w:r>
        <w:rPr>
          <w:rFonts w:ascii="Arial" w:cs="Arial" w:eastAsia="Arial" w:hAnsi="Arial"/>
          <w:sz w:val="17"/>
          <w:szCs w:val="17"/>
          <w:color w:val="auto"/>
        </w:rPr>
        <w:t>Section 16(a) of the Securities Exchange Act of 1934 requires United’ directors and executive officers, and persons who own more than 10% of United’s Common Stock, to file with the Securities and Exchange Commission certain reports of beneficial ownership of the Common Stock. Based solely on copies of such reports furnished to United and written representations that no other reports were required, United believes that all applicable Section 16(a) reports were filed by its directors, officers and 10% shareholders during the fiscal year ended December 31, 2004.</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97" w:lineRule="exact"/>
        <w:rPr>
          <w:sz w:val="20"/>
          <w:szCs w:val="20"/>
          <w:color w:val="auto"/>
        </w:rPr>
      </w:pPr>
    </w:p>
    <w:p>
      <w:pPr>
        <w:ind w:right="20" w:firstLine="221"/>
        <w:spacing w:after="0" w:line="265" w:lineRule="auto"/>
        <w:rPr>
          <w:sz w:val="20"/>
          <w:szCs w:val="20"/>
          <w:color w:val="auto"/>
        </w:rPr>
      </w:pPr>
      <w:r>
        <w:rPr>
          <w:rFonts w:ascii="Arial" w:cs="Arial" w:eastAsia="Arial" w:hAnsi="Arial"/>
          <w:sz w:val="18"/>
          <w:szCs w:val="18"/>
          <w:color w:val="auto"/>
        </w:rPr>
        <w:t>Mr. Robert L. Head, Jr., Chairman of the Board of Directors of United, is the owner of a construction company that United and certain of its bank subsidiaries engaged during 2004 to perform various construction projects totaling $1,358,000.</w:t>
      </w:r>
    </w:p>
    <w:p>
      <w:pPr>
        <w:spacing w:after="0" w:line="140" w:lineRule="exact"/>
        <w:rPr>
          <w:sz w:val="20"/>
          <w:szCs w:val="20"/>
          <w:color w:val="auto"/>
        </w:rPr>
      </w:pPr>
    </w:p>
    <w:p>
      <w:pPr>
        <w:ind w:right="640" w:firstLine="221"/>
        <w:spacing w:after="0" w:line="265" w:lineRule="auto"/>
        <w:rPr>
          <w:sz w:val="20"/>
          <w:szCs w:val="20"/>
          <w:color w:val="auto"/>
        </w:rPr>
      </w:pPr>
      <w:r>
        <w:rPr>
          <w:rFonts w:ascii="Arial" w:cs="Arial" w:eastAsia="Arial" w:hAnsi="Arial"/>
          <w:sz w:val="18"/>
          <w:szCs w:val="18"/>
          <w:color w:val="auto"/>
        </w:rPr>
        <w:t>Mr. Tim Wallis, a member of the Board of Directors of United, is the owner of Wallis Printing, a printing company that United and certain of its bank subsidiaries engaged during 2004 to perform various printing services totaling $169,000.</w:t>
      </w:r>
    </w:p>
    <w:p>
      <w:pPr>
        <w:spacing w:after="0" w:line="140" w:lineRule="exact"/>
        <w:rPr>
          <w:sz w:val="20"/>
          <w:szCs w:val="20"/>
          <w:color w:val="auto"/>
        </w:rPr>
      </w:pPr>
    </w:p>
    <w:p>
      <w:pPr>
        <w:ind w:right="180" w:firstLine="218"/>
        <w:spacing w:after="0" w:line="294" w:lineRule="auto"/>
        <w:rPr>
          <w:sz w:val="20"/>
          <w:szCs w:val="20"/>
          <w:color w:val="auto"/>
        </w:rPr>
      </w:pPr>
      <w:r>
        <w:rPr>
          <w:rFonts w:ascii="Arial" w:cs="Arial" w:eastAsia="Arial" w:hAnsi="Arial"/>
          <w:sz w:val="17"/>
          <w:szCs w:val="17"/>
          <w:color w:val="auto"/>
        </w:rPr>
        <w:t>The Banks have had, and expect to have in the future, banking transactions in the ordinary course of business with directors and officers of United and their associates, including corporations in which such officers or directors are shareholders, directors or officers, on the same terms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440"/>
        <w:spacing w:after="0" w:line="265" w:lineRule="auto"/>
        <w:rPr>
          <w:sz w:val="20"/>
          <w:szCs w:val="20"/>
          <w:color w:val="auto"/>
        </w:rPr>
      </w:pPr>
      <w:r>
        <w:rPr>
          <w:rFonts w:ascii="Arial" w:cs="Arial" w:eastAsia="Arial" w:hAnsi="Arial"/>
          <w:sz w:val="18"/>
          <w:szCs w:val="18"/>
          <w:color w:val="auto"/>
        </w:rPr>
        <w:t>(including interest rates and collateral) as those prevailing at the time for comparable transactions with unaffiliated third parties. Such transactions have not involved more than the normal risk of collectability or presented other unfavorable features.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REPORT</w:t>
      </w:r>
    </w:p>
    <w:p>
      <w:pPr>
        <w:spacing w:after="0" w:line="184" w:lineRule="exact"/>
        <w:rPr>
          <w:sz w:val="20"/>
          <w:szCs w:val="20"/>
          <w:color w:val="auto"/>
        </w:rPr>
      </w:pPr>
    </w:p>
    <w:p>
      <w:pPr>
        <w:ind w:firstLine="218"/>
        <w:spacing w:after="0" w:line="249" w:lineRule="auto"/>
        <w:rPr>
          <w:sz w:val="20"/>
          <w:szCs w:val="20"/>
          <w:color w:val="auto"/>
        </w:rPr>
      </w:pPr>
      <w:r>
        <w:rPr>
          <w:rFonts w:ascii="Arial" w:cs="Arial" w:eastAsia="Arial" w:hAnsi="Arial"/>
          <w:sz w:val="18"/>
          <w:szCs w:val="18"/>
          <w:color w:val="auto"/>
        </w:rPr>
        <w:t>The Audit Committee operates pursuant to an Audit Committee Charter that was adopted by the Board following its annual review and assessment of its charter on July 17, 2003. United’s management is responsible for its internal accounting controls and the financial reporting process. United’s independent registered public accountants, Porter Keadle Moore, LLP, are responsible for performing an audit of United’s consolidated financial statements in accordance with auditing standards of the Public Company Accounting Oversight Board (United States) and for expressing an opinion as to their conformity with U.S. generally accepted accounting principles. The Audit Committee’s responsibility is to monitor and oversee these processes. The Board of Directors, in its business judgment, has determined that all three members of the Audit Committee are “independent,” as defined by the federal securities laws and the Nasdaq Marketplace Rules.</w:t>
      </w:r>
    </w:p>
    <w:p>
      <w:pPr>
        <w:spacing w:after="0" w:line="154" w:lineRule="exact"/>
        <w:rPr>
          <w:sz w:val="20"/>
          <w:szCs w:val="20"/>
          <w:color w:val="auto"/>
        </w:rPr>
      </w:pPr>
    </w:p>
    <w:p>
      <w:pPr>
        <w:ind w:firstLine="221"/>
        <w:spacing w:after="0" w:line="249" w:lineRule="auto"/>
        <w:rPr>
          <w:sz w:val="20"/>
          <w:szCs w:val="20"/>
          <w:color w:val="auto"/>
        </w:rPr>
      </w:pPr>
      <w:r>
        <w:rPr>
          <w:rFonts w:ascii="Arial" w:cs="Arial" w:eastAsia="Arial" w:hAnsi="Arial"/>
          <w:sz w:val="18"/>
          <w:szCs w:val="18"/>
          <w:color w:val="auto"/>
        </w:rPr>
        <w:t>In keeping with that responsibility, the Audit Committee has reviewed and discussed United’s audited consolidated financial statements with management and the independent registered public accountants. In addition, the Audit Committee has discussed with United’s independent registered public accountants the matters required to be discussed by Statement on Auditing Standards No. 61, “Communications with Audit Committee,” as currently in effect. In addition, the Audit Committee has received the written disclosures from the independent registered public accountants required by Independence Standards Board Standard No. 1, “Independence Discussions with Audit Committees,” and has discussed with the independent registered public accountants their independence. The Audit Committee has also considered whether the provision of non-audit services by the independent registered public accountants is compatible with maintaining their independence.</w:t>
      </w:r>
    </w:p>
    <w:p>
      <w:pPr>
        <w:spacing w:after="0" w:line="167" w:lineRule="exact"/>
        <w:rPr>
          <w:sz w:val="20"/>
          <w:szCs w:val="20"/>
          <w:color w:val="auto"/>
        </w:rPr>
      </w:pPr>
    </w:p>
    <w:p>
      <w:pPr>
        <w:ind w:right="20" w:firstLine="218"/>
        <w:spacing w:after="0" w:line="318" w:lineRule="auto"/>
        <w:rPr>
          <w:sz w:val="20"/>
          <w:szCs w:val="20"/>
          <w:color w:val="auto"/>
        </w:rPr>
      </w:pPr>
      <w:r>
        <w:rPr>
          <w:rFonts w:ascii="Arial" w:cs="Arial" w:eastAsia="Arial" w:hAnsi="Arial"/>
          <w:sz w:val="15"/>
          <w:szCs w:val="15"/>
          <w:color w:val="auto"/>
        </w:rPr>
        <w:t>The Audit Committee also discussed with management, United’s internal auditors and the independent registered public accountants the quality and adequacy of United’s internal controls over financial reporting and the internal audit function’s organization, responsibilities, budget and staffing. It reviewed management’s assessment of such internal control and the independent registered public accountants’ attestation thereof. The Audit Committee reviewed both with the independent registered public accountants and internal auditors their audit plans, audit scope and identification of audit risks.</w:t>
      </w:r>
    </w:p>
    <w:p>
      <w:pPr>
        <w:spacing w:after="0" w:line="107" w:lineRule="exact"/>
        <w:rPr>
          <w:sz w:val="20"/>
          <w:szCs w:val="20"/>
          <w:color w:val="auto"/>
        </w:rPr>
      </w:pPr>
    </w:p>
    <w:p>
      <w:pPr>
        <w:ind w:right="120" w:firstLine="221"/>
        <w:spacing w:after="0" w:line="305" w:lineRule="auto"/>
        <w:rPr>
          <w:sz w:val="20"/>
          <w:szCs w:val="20"/>
          <w:color w:val="auto"/>
        </w:rPr>
      </w:pPr>
      <w:r>
        <w:rPr>
          <w:rFonts w:ascii="Arial" w:cs="Arial" w:eastAsia="Arial" w:hAnsi="Arial"/>
          <w:sz w:val="15"/>
          <w:szCs w:val="15"/>
          <w:color w:val="auto"/>
        </w:rPr>
        <w:t>Other than Mr. Bennett, the members of the Audit Committee are not professionally engaged in the practice of auditing or accounting and are not experts in the fields of accounting or auditing, including in respect of auditor independence. Members of the Audit Committee rely, without independent verification, on the information provided to them and on the representations made by management and the independent registered public accountants. Accordingly, the Audit Committee’s oversight does not provide an independent basis to determine that management has maintained appropriate accounting and financial reporting principles or appropriate internal controls and procedures designed to assure compliance with accounting standards and applicable laws and regulations. Furthermore, the Audit Committee’s considerations and discussions referred to above do not assure that the audit of United’s financial statements has been carried out in accordance with the standards of the Public Company Accounting Oversight Board, that the financial statements are presented in accordance with U.S. generally accepted accounting principles or that United’s auditors are in fact “independent.”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20" w:firstLine="221"/>
        <w:spacing w:after="0" w:line="330" w:lineRule="auto"/>
        <w:rPr>
          <w:sz w:val="20"/>
          <w:szCs w:val="20"/>
          <w:color w:val="auto"/>
        </w:rPr>
      </w:pPr>
      <w:r>
        <w:rPr>
          <w:rFonts w:ascii="Arial" w:cs="Arial" w:eastAsia="Arial" w:hAnsi="Arial"/>
          <w:sz w:val="15"/>
          <w:szCs w:val="15"/>
          <w:color w:val="auto"/>
        </w:rPr>
        <w:t>Based on the reports and discussions described in this report, and subject to the limitations on the role and responsibilities of the Audit Committee referred to above and in the Audit Committee Charter, the Audit Committee recommended to the Board of Directors that the audited consolidated financial statements of United be included in the Annual Report on Form 10-K for the year ended December 31, 2004 for filing with the Securities and Exchange Commission.</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This report is respectfully submitted by the Audit Committee of the Board of Directors.</w:t>
      </w:r>
    </w:p>
    <w:p>
      <w:pPr>
        <w:spacing w:after="0" w:line="178"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W. C. Nelson, Jr., Chairman</w:t>
      </w:r>
    </w:p>
    <w:p>
      <w:pPr>
        <w:spacing w:after="0" w:line="16"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A. William Bennett</w:t>
      </w:r>
    </w:p>
    <w:p>
      <w:pPr>
        <w:spacing w:after="0" w:line="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Hoyt O. Holloway</w:t>
      </w:r>
    </w:p>
    <w:p>
      <w:pPr>
        <w:spacing w:after="0" w:line="16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SHAREHOLDER COMMUNICATION</w:t>
      </w:r>
    </w:p>
    <w:p>
      <w:pPr>
        <w:spacing w:after="0" w:line="197" w:lineRule="exact"/>
        <w:rPr>
          <w:sz w:val="20"/>
          <w:szCs w:val="20"/>
          <w:color w:val="auto"/>
        </w:rPr>
      </w:pPr>
    </w:p>
    <w:p>
      <w:pPr>
        <w:ind w:firstLine="218"/>
        <w:spacing w:after="0" w:line="312" w:lineRule="auto"/>
        <w:rPr>
          <w:sz w:val="20"/>
          <w:szCs w:val="20"/>
          <w:color w:val="auto"/>
        </w:rPr>
      </w:pPr>
      <w:r>
        <w:rPr>
          <w:rFonts w:ascii="Arial" w:cs="Arial" w:eastAsia="Arial" w:hAnsi="Arial"/>
          <w:sz w:val="15"/>
          <w:szCs w:val="15"/>
          <w:color w:val="auto"/>
        </w:rPr>
        <w:t>The Board of Directors maintains a process for shareholders to communicate with the Board. Shareholders wishing to communicate with the Board of Directors should send any communication in writing to the Secretary, United Community Banks, Inc. P.O. Box 398, Blairsville, Georgia 30514-0398. Any such communication must state the number of shares beneficially owned by the shareholder making the communication. The communication will be forwarded to the full Board of Directors or to any individual director or directors to whom the communication is directed unless the communication is illegal or otherwise inappropriate, in which case the communication will be disregarded, and United will take any appropriate legal action regarding the communication.</w:t>
      </w:r>
    </w:p>
    <w:p>
      <w:pPr>
        <w:spacing w:after="0" w:line="1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OTHER MATTERS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Registered Public Accountants</w:t>
      </w:r>
    </w:p>
    <w:p>
      <w:pPr>
        <w:spacing w:after="0" w:line="197" w:lineRule="exact"/>
        <w:rPr>
          <w:sz w:val="20"/>
          <w:szCs w:val="20"/>
          <w:color w:val="auto"/>
        </w:rPr>
      </w:pPr>
    </w:p>
    <w:p>
      <w:pPr>
        <w:ind w:right="40" w:firstLine="221"/>
        <w:spacing w:after="0" w:line="330" w:lineRule="auto"/>
        <w:rPr>
          <w:sz w:val="20"/>
          <w:szCs w:val="20"/>
          <w:color w:val="auto"/>
        </w:rPr>
      </w:pPr>
      <w:r>
        <w:rPr>
          <w:rFonts w:ascii="Arial" w:cs="Arial" w:eastAsia="Arial" w:hAnsi="Arial"/>
          <w:sz w:val="15"/>
          <w:szCs w:val="15"/>
          <w:color w:val="auto"/>
        </w:rPr>
        <w:t>Porter Keadle Moore, LLP was the principal independent registered public accountant for United during the year ended December 31, 2004. Representatives of Porter Keadle Moore, LLP are expected to be present at the annual meeting and will have the opportunity to make a statement if they desire to do so and to respond to appropriate questions. United anticipates that Porter Keadle Moore, LLP will be United’s accountants for the 2005 fiscal year.</w:t>
      </w:r>
    </w:p>
    <w:p>
      <w:pPr>
        <w:spacing w:after="0" w:line="9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During 2004 and 2003, United was billed the following amounts for services rendered by Porter Keadle Moore, LLP:</w:t>
      </w:r>
    </w:p>
    <w:p>
      <w:pPr>
        <w:spacing w:after="0" w:line="178" w:lineRule="exact"/>
        <w:rPr>
          <w:sz w:val="20"/>
          <w:szCs w:val="20"/>
          <w:color w:val="auto"/>
        </w:rPr>
      </w:pPr>
    </w:p>
    <w:p>
      <w:pPr>
        <w:ind w:firstLine="221"/>
        <w:spacing w:after="0" w:line="271" w:lineRule="auto"/>
        <w:rPr>
          <w:sz w:val="20"/>
          <w:szCs w:val="20"/>
          <w:color w:val="auto"/>
        </w:rPr>
      </w:pPr>
      <w:r>
        <w:rPr>
          <w:rFonts w:ascii="Arial" w:cs="Arial" w:eastAsia="Arial" w:hAnsi="Arial"/>
          <w:sz w:val="17"/>
          <w:szCs w:val="17"/>
          <w:i w:val="1"/>
          <w:iCs w:val="1"/>
          <w:color w:val="auto"/>
        </w:rPr>
        <w:t xml:space="preserve">Audit Fees. </w:t>
      </w:r>
      <w:r>
        <w:rPr>
          <w:rFonts w:ascii="Arial" w:cs="Arial" w:eastAsia="Arial" w:hAnsi="Arial"/>
          <w:sz w:val="17"/>
          <w:szCs w:val="17"/>
          <w:color w:val="auto"/>
        </w:rPr>
        <w:t>In connection with the audit of United’s annual consolidated financial statements, including the audit of management’s assessment of internal</w:t>
      </w:r>
      <w:r>
        <w:rPr>
          <w:rFonts w:ascii="Arial" w:cs="Arial" w:eastAsia="Arial" w:hAnsi="Arial"/>
          <w:sz w:val="17"/>
          <w:szCs w:val="17"/>
          <w:i w:val="1"/>
          <w:iCs w:val="1"/>
          <w:color w:val="auto"/>
        </w:rPr>
        <w:t xml:space="preserve"> </w:t>
      </w:r>
      <w:r>
        <w:rPr>
          <w:rFonts w:ascii="Arial" w:cs="Arial" w:eastAsia="Arial" w:hAnsi="Arial"/>
          <w:sz w:val="17"/>
          <w:szCs w:val="17"/>
          <w:color w:val="auto"/>
        </w:rPr>
        <w:t>controls over financial reporting, and review of its Form 10-K and the review of United’s interim consolidated financial statements included within Forms 10-Q, United was billed approximately $525,000 in 2004 and $400,000 in 2003 by Porter Keadle Moore, LLP. This figure includes fees for certain services that were billed to United in 2005 in connection with the 2004 annual audit, including out-of-pocket travel costs.</w:t>
      </w:r>
    </w:p>
    <w:p>
      <w:pPr>
        <w:spacing w:after="0" w:line="151"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 xml:space="preserve">Audit-Related fees. </w:t>
      </w:r>
      <w:r>
        <w:rPr>
          <w:rFonts w:ascii="Arial" w:cs="Arial" w:eastAsia="Arial" w:hAnsi="Arial"/>
          <w:sz w:val="15"/>
          <w:szCs w:val="15"/>
          <w:color w:val="auto"/>
        </w:rPr>
        <w:t>United was billed approximately $19,000 in 2004 and $15,000 in 2003 by Porter Keadle Moore for the audit of the Profit Sharing Plan.</w:t>
      </w:r>
    </w:p>
    <w:p>
      <w:pPr>
        <w:spacing w:after="0" w:line="212" w:lineRule="exact"/>
        <w:rPr>
          <w:sz w:val="20"/>
          <w:szCs w:val="20"/>
          <w:color w:val="auto"/>
        </w:rPr>
      </w:pPr>
    </w:p>
    <w:p>
      <w:pPr>
        <w:ind w:left="220"/>
        <w:spacing w:after="0"/>
        <w:rPr>
          <w:sz w:val="20"/>
          <w:szCs w:val="20"/>
          <w:color w:val="auto"/>
        </w:rPr>
      </w:pPr>
      <w:r>
        <w:rPr>
          <w:rFonts w:ascii="Arial" w:cs="Arial" w:eastAsia="Arial" w:hAnsi="Arial"/>
          <w:sz w:val="15"/>
          <w:szCs w:val="15"/>
          <w:i w:val="1"/>
          <w:iCs w:val="1"/>
          <w:color w:val="auto"/>
        </w:rPr>
        <w:t xml:space="preserve">Tax Fees. </w:t>
      </w:r>
      <w:r>
        <w:rPr>
          <w:rFonts w:ascii="Arial" w:cs="Arial" w:eastAsia="Arial" w:hAnsi="Arial"/>
          <w:sz w:val="15"/>
          <w:szCs w:val="15"/>
          <w:color w:val="auto"/>
        </w:rPr>
        <w:t>United was billed approximately $100,000 in 2004 and $98,000 in 2003 by Porter Keadle Moore for tax advice and preparation of tax returns.</w:t>
      </w:r>
    </w:p>
    <w:p>
      <w:pPr>
        <w:spacing w:after="0" w:line="212" w:lineRule="exact"/>
        <w:rPr>
          <w:sz w:val="20"/>
          <w:szCs w:val="20"/>
          <w:color w:val="auto"/>
        </w:rPr>
      </w:pPr>
    </w:p>
    <w:p>
      <w:pPr>
        <w:ind w:right="40" w:firstLine="221"/>
        <w:spacing w:after="0" w:line="265" w:lineRule="auto"/>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United was billed approximately $10,000 in 2004 and $76,000 in 2003 by Porter Keadle Moore for services that were not related to the audit</w:t>
      </w:r>
      <w:r>
        <w:rPr>
          <w:rFonts w:ascii="Arial" w:cs="Arial" w:eastAsia="Arial" w:hAnsi="Arial"/>
          <w:sz w:val="18"/>
          <w:szCs w:val="18"/>
          <w:i w:val="1"/>
          <w:iCs w:val="1"/>
          <w:color w:val="auto"/>
        </w:rPr>
        <w:t xml:space="preserve"> </w:t>
      </w:r>
      <w:r>
        <w:rPr>
          <w:rFonts w:ascii="Arial" w:cs="Arial" w:eastAsia="Arial" w:hAnsi="Arial"/>
          <w:sz w:val="18"/>
          <w:szCs w:val="18"/>
          <w:color w:val="auto"/>
        </w:rPr>
        <w:t>of United’s financial statements. These services included compliance and consulting services.</w:t>
      </w:r>
    </w:p>
    <w:p>
      <w:pPr>
        <w:spacing w:after="0" w:line="15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3"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140" w:firstLine="218"/>
        <w:spacing w:after="0" w:line="330" w:lineRule="auto"/>
        <w:rPr>
          <w:sz w:val="20"/>
          <w:szCs w:val="20"/>
          <w:color w:val="auto"/>
        </w:rPr>
      </w:pPr>
      <w:r>
        <w:rPr>
          <w:rFonts w:ascii="Arial" w:cs="Arial" w:eastAsia="Arial" w:hAnsi="Arial"/>
          <w:sz w:val="15"/>
          <w:szCs w:val="15"/>
          <w:color w:val="auto"/>
        </w:rPr>
        <w:t>The audit committee pre-approves all audit and non-audit services performed by United’s independent registered public accountants. The audit committee specifically approves the annual audit services engagement and has generally approved the provision of certain audit-related services and tax services by Porter Keadle Moore. Certain non-audit services that are permitted under the federal securities laws may be approved from time to time by the audit committee.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Solicitation</w:t>
      </w:r>
    </w:p>
    <w:p>
      <w:pPr>
        <w:spacing w:after="0" w:line="184" w:lineRule="exact"/>
        <w:rPr>
          <w:sz w:val="20"/>
          <w:szCs w:val="20"/>
          <w:color w:val="auto"/>
        </w:rPr>
      </w:pPr>
    </w:p>
    <w:p>
      <w:pPr>
        <w:ind w:right="160" w:firstLine="218"/>
        <w:spacing w:after="0" w:line="294" w:lineRule="auto"/>
        <w:rPr>
          <w:sz w:val="20"/>
          <w:szCs w:val="20"/>
          <w:color w:val="auto"/>
        </w:rPr>
      </w:pPr>
      <w:r>
        <w:rPr>
          <w:rFonts w:ascii="Arial" w:cs="Arial" w:eastAsia="Arial" w:hAnsi="Arial"/>
          <w:sz w:val="17"/>
          <w:szCs w:val="17"/>
          <w:color w:val="auto"/>
        </w:rPr>
        <w:t>The cost of solicitation of proxies will be borne by United. United may reimburse brokers, banks, nominees and other fiduciaries for postage and reasonable clerical expenses of forwarding the proxy material to their principals who are beneficial owners of shares of common stock.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Proposals &amp; Recommendations for Director Nominees</w:t>
      </w:r>
    </w:p>
    <w:p>
      <w:pPr>
        <w:spacing w:after="0" w:line="197" w:lineRule="exact"/>
        <w:rPr>
          <w:sz w:val="20"/>
          <w:szCs w:val="20"/>
          <w:color w:val="auto"/>
        </w:rPr>
      </w:pPr>
    </w:p>
    <w:p>
      <w:pPr>
        <w:ind w:right="60" w:firstLine="221"/>
        <w:spacing w:after="0" w:line="312" w:lineRule="auto"/>
        <w:rPr>
          <w:sz w:val="20"/>
          <w:szCs w:val="20"/>
          <w:color w:val="auto"/>
        </w:rPr>
      </w:pPr>
      <w:r>
        <w:rPr>
          <w:rFonts w:ascii="Arial" w:cs="Arial" w:eastAsia="Arial" w:hAnsi="Arial"/>
          <w:sz w:val="15"/>
          <w:szCs w:val="15"/>
          <w:color w:val="auto"/>
        </w:rPr>
        <w:t>No proposals or recommendations for director nominations by non-management have been presented for consideration at the annual meeting. United expects that its 2006 annual meeting will be held in April 2006. Any proposals or director recommendations by non-management shareholders intended for presentation at the 2006 annual meeting must be received by United at its principal executive offices, attention of the Secretary, no later than November 25, 2005 to be considered for inclusion in the proxy statement for that meeting. United must be notified of any other shareholder proposal intended to be presented for action at the meeting not later than February 25, 2006 or else proxies may be voted on such proposal at the discretion of the person or persons holding these proxies.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84" w:lineRule="exact"/>
        <w:rPr>
          <w:sz w:val="20"/>
          <w:szCs w:val="20"/>
          <w:color w:val="auto"/>
        </w:rPr>
      </w:pPr>
    </w:p>
    <w:p>
      <w:pPr>
        <w:ind w:firstLine="218"/>
        <w:spacing w:after="0" w:line="265" w:lineRule="auto"/>
        <w:rPr>
          <w:sz w:val="20"/>
          <w:szCs w:val="20"/>
          <w:color w:val="auto"/>
        </w:rPr>
      </w:pPr>
      <w:r>
        <w:rPr>
          <w:rFonts w:ascii="Arial" w:cs="Arial" w:eastAsia="Arial" w:hAnsi="Arial"/>
          <w:sz w:val="18"/>
          <w:szCs w:val="18"/>
          <w:color w:val="auto"/>
        </w:rPr>
        <w:t>The Board of Directors does not know of any other matters to be presented at the annual meeting. If any additional matters are properly presented, the persons named in the proxy will have discretion to vote in accordance with their own judgment on such matters.</w:t>
      </w:r>
    </w:p>
    <w:p>
      <w:pPr>
        <w:spacing w:after="0" w:line="17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3489325</wp:posOffset>
            </wp:positionH>
            <wp:positionV relativeFrom="paragraph">
              <wp:posOffset>146050</wp:posOffset>
            </wp:positionV>
            <wp:extent cx="2138680" cy="7664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38680" cy="766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Jimmy C. Tallent</w:t>
      </w:r>
    </w:p>
    <w:p>
      <w:pPr>
        <w:spacing w:after="0" w:line="16" w:lineRule="exact"/>
        <w:rPr>
          <w:sz w:val="20"/>
          <w:szCs w:val="20"/>
          <w:color w:val="auto"/>
        </w:rPr>
      </w:pPr>
    </w:p>
    <w:p>
      <w:pPr>
        <w:ind w:left="550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COMMON STOCK OF UNITED COMMUNITY BANKS, INC.</w:t>
      </w:r>
    </w:p>
    <w:p>
      <w:pPr>
        <w:spacing w:after="0" w:line="121" w:lineRule="exact"/>
        <w:rPr>
          <w:sz w:val="20"/>
          <w:szCs w:val="20"/>
          <w:color w:val="auto"/>
        </w:rPr>
      </w:pPr>
    </w:p>
    <w:p>
      <w:pPr>
        <w:ind w:left="3420"/>
        <w:spacing w:after="0"/>
        <w:rPr>
          <w:sz w:val="20"/>
          <w:szCs w:val="20"/>
          <w:color w:val="auto"/>
        </w:rPr>
      </w:pPr>
      <w:r>
        <w:rPr>
          <w:rFonts w:ascii="Arial" w:cs="Arial" w:eastAsia="Arial" w:hAnsi="Arial"/>
          <w:sz w:val="16"/>
          <w:szCs w:val="16"/>
          <w:b w:val="1"/>
          <w:bCs w:val="1"/>
          <w:color w:val="auto"/>
        </w:rPr>
        <w:t>THIS PROXY IS SOLICITED BY THE BOARD OF DIRECTORS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2005 ANNUAL MEETING OF SHAREHOLDERS.</w:t>
      </w:r>
    </w:p>
    <w:p>
      <w:pPr>
        <w:spacing w:after="0" w:line="107" w:lineRule="exact"/>
        <w:rPr>
          <w:sz w:val="20"/>
          <w:szCs w:val="20"/>
          <w:color w:val="auto"/>
        </w:rPr>
      </w:pPr>
    </w:p>
    <w:p>
      <w:pPr>
        <w:ind w:right="460" w:firstLine="177"/>
        <w:spacing w:after="0" w:line="245" w:lineRule="auto"/>
        <w:rPr>
          <w:sz w:val="20"/>
          <w:szCs w:val="20"/>
          <w:color w:val="auto"/>
        </w:rPr>
      </w:pPr>
      <w:r>
        <w:rPr>
          <w:rFonts w:ascii="Arial" w:cs="Arial" w:eastAsia="Arial" w:hAnsi="Arial"/>
          <w:sz w:val="14"/>
          <w:szCs w:val="14"/>
          <w:color w:val="auto"/>
        </w:rPr>
        <w:t>I hereby appoint Jimmy C. Tallent or Robert L. Head, Jr. my proxy to vote my common stock at the Annual Meeting of Shareholders of UNITED COMMUNITY BANKS, INC. to be held on April 27, 2005, and any adjournment thereof.</w:t>
      </w:r>
    </w:p>
    <w:p>
      <w:pPr>
        <w:spacing w:after="0" w:line="65" w:lineRule="exact"/>
        <w:rPr>
          <w:sz w:val="20"/>
          <w:szCs w:val="20"/>
          <w:color w:val="auto"/>
        </w:rPr>
      </w:pPr>
    </w:p>
    <w:p>
      <w:pPr>
        <w:ind w:left="260" w:hanging="254"/>
        <w:spacing w:after="0"/>
        <w:tabs>
          <w:tab w:leader="none" w:pos="260" w:val="left"/>
        </w:tabs>
        <w:numPr>
          <w:ilvl w:val="0"/>
          <w:numId w:val="18"/>
        </w:numPr>
        <w:rPr>
          <w:rFonts w:ascii="Arial" w:cs="Arial" w:eastAsia="Arial" w:hAnsi="Arial"/>
          <w:sz w:val="14"/>
          <w:szCs w:val="14"/>
          <w:b w:val="1"/>
          <w:bCs w:val="1"/>
          <w:color w:val="auto"/>
        </w:rPr>
      </w:pPr>
      <w:r>
        <w:rPr>
          <w:rFonts w:ascii="Arial" w:cs="Arial" w:eastAsia="Arial" w:hAnsi="Arial"/>
          <w:sz w:val="14"/>
          <w:szCs w:val="14"/>
          <w:b w:val="1"/>
          <w:bCs w:val="1"/>
          <w:color w:val="auto"/>
        </w:rPr>
        <w:t>Election of Nominees:</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Jimmy C. Tallent, Robert L. Head, Jr., W. C. Nelson, Jr., A. William Bennett, Robert H. Blalock, Guy W. Freeman,</w:t>
      </w:r>
    </w:p>
    <w:p>
      <w:pPr>
        <w:jc w:val="center"/>
        <w:spacing w:after="0"/>
        <w:rPr>
          <w:sz w:val="20"/>
          <w:szCs w:val="20"/>
          <w:color w:val="auto"/>
        </w:rPr>
      </w:pPr>
      <w:r>
        <w:rPr>
          <w:rFonts w:ascii="Arial" w:cs="Arial" w:eastAsia="Arial" w:hAnsi="Arial"/>
          <w:sz w:val="14"/>
          <w:szCs w:val="14"/>
          <w:color w:val="auto"/>
        </w:rPr>
        <w:t>Thomas C. Gilliland, Charles E. Hill, Hoyt O. Holloway, Clarence W. Mason, Sr., Tim Wallis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gridSpan w:val="2"/>
          </w:tcPr>
          <w:p>
            <w:pPr>
              <w:spacing w:after="0"/>
              <w:rPr>
                <w:sz w:val="20"/>
                <w:szCs w:val="20"/>
                <w:color w:val="auto"/>
              </w:rPr>
            </w:pPr>
            <w:r>
              <w:rPr>
                <w:rFonts w:ascii="Arial" w:cs="Arial" w:eastAsia="Arial" w:hAnsi="Arial"/>
                <w:sz w:val="14"/>
                <w:szCs w:val="14"/>
                <w:b w:val="1"/>
                <w:bCs w:val="1"/>
                <w:color w:val="auto"/>
              </w:rPr>
              <w:t>MARK “X” IN ONLY ONE BOX</w:t>
            </w:r>
          </w:p>
        </w:tc>
        <w:tc>
          <w:tcPr>
            <w:tcW w:w="1200" w:type="dxa"/>
            <w:vAlign w:val="bottom"/>
          </w:tcPr>
          <w:p>
            <w:pPr>
              <w:spacing w:after="0"/>
              <w:rPr>
                <w:sz w:val="14"/>
                <w:szCs w:val="14"/>
                <w:color w:val="auto"/>
              </w:rPr>
            </w:pPr>
          </w:p>
        </w:tc>
        <w:tc>
          <w:tcPr>
            <w:tcW w:w="302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 xml:space="preserve">FOR </w:t>
            </w:r>
            <w:r>
              <w:rPr>
                <w:rFonts w:ascii="Arial" w:cs="Arial" w:eastAsia="Arial" w:hAnsi="Arial"/>
                <w:sz w:val="14"/>
                <w:szCs w:val="14"/>
                <w:color w:val="auto"/>
              </w:rPr>
              <w:t>all of the Nominees, except</w:t>
            </w:r>
          </w:p>
        </w:tc>
        <w:tc>
          <w:tcPr>
            <w:tcW w:w="740" w:type="dxa"/>
            <w:vAlign w:val="bottom"/>
          </w:tcPr>
          <w:p>
            <w:pPr>
              <w:spacing w:after="0"/>
              <w:rPr>
                <w:sz w:val="14"/>
                <w:szCs w:val="14"/>
                <w:color w:val="auto"/>
              </w:rPr>
            </w:pPr>
          </w:p>
        </w:tc>
        <w:tc>
          <w:tcPr>
            <w:tcW w:w="304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 xml:space="preserve">WITHHOLD AUTHORITY </w:t>
            </w:r>
            <w:r>
              <w:rPr>
                <w:rFonts w:ascii="Arial" w:cs="Arial" w:eastAsia="Arial" w:hAnsi="Arial"/>
                <w:sz w:val="14"/>
                <w:szCs w:val="14"/>
                <w:color w:val="auto"/>
              </w:rPr>
              <w:t>to vote</w:t>
            </w:r>
          </w:p>
        </w:tc>
        <w:tc>
          <w:tcPr>
            <w:tcW w:w="0" w:type="dxa"/>
            <w:vAlign w:val="bottom"/>
          </w:tcPr>
          <w:p>
            <w:pPr>
              <w:spacing w:after="0"/>
              <w:rPr>
                <w:sz w:val="1"/>
                <w:szCs w:val="1"/>
                <w:color w:val="auto"/>
              </w:rPr>
            </w:pPr>
          </w:p>
        </w:tc>
      </w:tr>
      <w:tr>
        <w:trPr>
          <w:trHeight w:val="150"/>
        </w:trPr>
        <w:tc>
          <w:tcPr>
            <w:tcW w:w="680" w:type="dxa"/>
            <w:vAlign w:val="bottom"/>
          </w:tcPr>
          <w:p>
            <w:pPr>
              <w:spacing w:after="0" w:line="150" w:lineRule="exact"/>
              <w:rPr>
                <w:sz w:val="20"/>
                <w:szCs w:val="20"/>
                <w:color w:val="auto"/>
              </w:rPr>
            </w:pPr>
            <w:r>
              <w:rPr>
                <w:rFonts w:ascii="Arial" w:cs="Arial" w:eastAsia="Arial" w:hAnsi="Arial"/>
                <w:sz w:val="14"/>
                <w:szCs w:val="14"/>
                <w:b w:val="1"/>
                <w:bCs w:val="1"/>
                <w:color w:val="auto"/>
              </w:rPr>
              <w:t>o</w:t>
            </w:r>
          </w:p>
        </w:tc>
        <w:tc>
          <w:tcPr>
            <w:tcW w:w="2740" w:type="dxa"/>
            <w:vAlign w:val="bottom"/>
          </w:tcPr>
          <w:p>
            <w:pPr>
              <w:ind w:left="580"/>
              <w:spacing w:after="0" w:line="150" w:lineRule="exact"/>
              <w:rPr>
                <w:sz w:val="20"/>
                <w:szCs w:val="20"/>
                <w:color w:val="auto"/>
              </w:rPr>
            </w:pPr>
            <w:r>
              <w:rPr>
                <w:rFonts w:ascii="Arial" w:cs="Arial" w:eastAsia="Arial" w:hAnsi="Arial"/>
                <w:sz w:val="14"/>
                <w:szCs w:val="14"/>
                <w:b w:val="1"/>
                <w:bCs w:val="1"/>
                <w:color w:val="auto"/>
              </w:rPr>
              <w:t xml:space="preserve">FOR </w:t>
            </w:r>
            <w:r>
              <w:rPr>
                <w:rFonts w:ascii="Arial" w:cs="Arial" w:eastAsia="Arial" w:hAnsi="Arial"/>
                <w:sz w:val="14"/>
                <w:szCs w:val="14"/>
                <w:color w:val="auto"/>
              </w:rPr>
              <w:t>all of the Nominees</w:t>
            </w:r>
          </w:p>
        </w:tc>
        <w:tc>
          <w:tcPr>
            <w:tcW w:w="1200" w:type="dxa"/>
            <w:vAlign w:val="bottom"/>
          </w:tcPr>
          <w:p>
            <w:pPr>
              <w:ind w:left="700"/>
              <w:spacing w:after="0" w:line="150" w:lineRule="exact"/>
              <w:rPr>
                <w:sz w:val="20"/>
                <w:szCs w:val="20"/>
                <w:color w:val="auto"/>
              </w:rPr>
            </w:pPr>
            <w:r>
              <w:rPr>
                <w:rFonts w:ascii="Arial" w:cs="Arial" w:eastAsia="Arial" w:hAnsi="Arial"/>
                <w:sz w:val="14"/>
                <w:szCs w:val="14"/>
                <w:color w:val="auto"/>
              </w:rPr>
              <w:t>o</w:t>
            </w:r>
          </w:p>
        </w:tc>
        <w:tc>
          <w:tcPr>
            <w:tcW w:w="3020" w:type="dxa"/>
            <w:vAlign w:val="bottom"/>
            <w:vMerge w:val="continue"/>
          </w:tcPr>
          <w:p>
            <w:pPr>
              <w:spacing w:after="0"/>
              <w:rPr>
                <w:sz w:val="13"/>
                <w:szCs w:val="13"/>
                <w:color w:val="auto"/>
              </w:rPr>
            </w:pPr>
          </w:p>
        </w:tc>
        <w:tc>
          <w:tcPr>
            <w:tcW w:w="740" w:type="dxa"/>
            <w:vAlign w:val="bottom"/>
          </w:tcPr>
          <w:p>
            <w:pPr>
              <w:ind w:left="260"/>
              <w:spacing w:after="0" w:line="150" w:lineRule="exact"/>
              <w:rPr>
                <w:sz w:val="20"/>
                <w:szCs w:val="20"/>
                <w:color w:val="auto"/>
              </w:rPr>
            </w:pPr>
            <w:r>
              <w:rPr>
                <w:rFonts w:ascii="Arial" w:cs="Arial" w:eastAsia="Arial" w:hAnsi="Arial"/>
                <w:sz w:val="14"/>
                <w:szCs w:val="14"/>
                <w:color w:val="auto"/>
              </w:rPr>
              <w:t>o</w:t>
            </w:r>
          </w:p>
        </w:tc>
        <w:tc>
          <w:tcPr>
            <w:tcW w:w="3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68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listed above</w:t>
            </w:r>
          </w:p>
        </w:tc>
        <w:tc>
          <w:tcPr>
            <w:tcW w:w="120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for the individual name(s) written below:</w:t>
            </w:r>
          </w:p>
        </w:tc>
        <w:tc>
          <w:tcPr>
            <w:tcW w:w="74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for all of the Nominees</w:t>
            </w: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360" w:hanging="354"/>
        <w:spacing w:after="0"/>
        <w:tabs>
          <w:tab w:leader="none" w:pos="360" w:val="left"/>
        </w:tabs>
        <w:numPr>
          <w:ilvl w:val="0"/>
          <w:numId w:val="19"/>
        </w:numPr>
        <w:rPr>
          <w:rFonts w:ascii="Arial" w:cs="Arial" w:eastAsia="Arial" w:hAnsi="Arial"/>
          <w:sz w:val="14"/>
          <w:szCs w:val="14"/>
          <w:b w:val="1"/>
          <w:bCs w:val="1"/>
          <w:color w:val="auto"/>
        </w:rPr>
      </w:pPr>
      <w:r>
        <w:rPr>
          <w:rFonts w:ascii="Arial" w:cs="Arial" w:eastAsia="Arial" w:hAnsi="Arial"/>
          <w:sz w:val="14"/>
          <w:szCs w:val="14"/>
          <w:b w:val="1"/>
          <w:bCs w:val="1"/>
          <w:color w:val="auto"/>
        </w:rPr>
        <w:t>Authority to vote, in the proxies’ discretion, upon such other business as may properly come before the meeting or any postponement or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725360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line="251" w:lineRule="auto"/>
        <w:rPr>
          <w:sz w:val="20"/>
          <w:szCs w:val="20"/>
          <w:color w:val="auto"/>
        </w:rPr>
      </w:pPr>
      <w:r>
        <w:rPr>
          <w:rFonts w:ascii="Arial" w:cs="Arial" w:eastAsia="Arial" w:hAnsi="Arial"/>
          <w:sz w:val="14"/>
          <w:szCs w:val="14"/>
          <w:b w:val="1"/>
          <w:bCs w:val="1"/>
          <w:color w:val="auto"/>
        </w:rPr>
        <w:t>The Board of Directors favor a vote “FOR” the election as directors of the nominees named in this proxy and, unless instructions to the contrary are indicated in the space provided, this proxy will so be voted.</w:t>
      </w:r>
    </w:p>
    <w:p>
      <w:pPr>
        <w:spacing w:after="0" w:line="118" w:lineRule="exact"/>
        <w:rPr>
          <w:sz w:val="20"/>
          <w:szCs w:val="20"/>
          <w:color w:val="auto"/>
        </w:rPr>
      </w:pPr>
    </w:p>
    <w:p>
      <w:pPr>
        <w:ind w:left="6180"/>
        <w:spacing w:after="0"/>
        <w:rPr>
          <w:sz w:val="20"/>
          <w:szCs w:val="20"/>
          <w:color w:val="auto"/>
        </w:rPr>
      </w:pPr>
      <w:r>
        <w:rPr>
          <w:rFonts w:ascii="Arial" w:cs="Arial" w:eastAsia="Arial" w:hAnsi="Arial"/>
          <w:sz w:val="13"/>
          <w:szCs w:val="13"/>
          <w:color w:val="auto"/>
        </w:rPr>
        <w:t>The undersigned hereby acknowledges receipt of the Notice of Annual Meeting of</w:t>
      </w:r>
    </w:p>
    <w:p>
      <w:pPr>
        <w:spacing w:after="0" w:line="8" w:lineRule="exact"/>
        <w:rPr>
          <w:sz w:val="20"/>
          <w:szCs w:val="20"/>
          <w:color w:val="auto"/>
        </w:rPr>
      </w:pPr>
    </w:p>
    <w:p>
      <w:pPr>
        <w:ind w:left="6180"/>
        <w:spacing w:after="0"/>
        <w:rPr>
          <w:sz w:val="20"/>
          <w:szCs w:val="20"/>
          <w:color w:val="auto"/>
        </w:rPr>
      </w:pPr>
      <w:r>
        <w:rPr>
          <w:rFonts w:ascii="Arial" w:cs="Arial" w:eastAsia="Arial" w:hAnsi="Arial"/>
          <w:sz w:val="13"/>
          <w:szCs w:val="13"/>
          <w:color w:val="auto"/>
        </w:rPr>
        <w:t>Shareholders dated March 24, 2005 and the Proxy Statement furnished therewith.</w:t>
      </w:r>
    </w:p>
    <w:p>
      <w:pPr>
        <w:spacing w:after="0" w:line="59" w:lineRule="exact"/>
        <w:rPr>
          <w:sz w:val="20"/>
          <w:szCs w:val="20"/>
          <w:color w:val="auto"/>
        </w:rPr>
      </w:pPr>
    </w:p>
    <w:p>
      <w:pPr>
        <w:ind w:left="6520"/>
        <w:spacing w:after="0"/>
        <w:tabs>
          <w:tab w:leader="none" w:pos="9820" w:val="left"/>
        </w:tabs>
        <w:rPr>
          <w:sz w:val="20"/>
          <w:szCs w:val="20"/>
          <w:color w:val="auto"/>
        </w:rPr>
      </w:pPr>
      <w:r>
        <w:rPr>
          <w:rFonts w:ascii="Arial" w:cs="Arial" w:eastAsia="Arial" w:hAnsi="Arial"/>
          <w:sz w:val="16"/>
          <w:szCs w:val="16"/>
          <w:color w:val="auto"/>
        </w:rPr>
        <w:t>Dated:</w:t>
      </w:r>
      <w:r>
        <w:rPr>
          <w:sz w:val="20"/>
          <w:szCs w:val="20"/>
          <w:color w:val="auto"/>
        </w:rPr>
        <w:tab/>
      </w:r>
      <w:r>
        <w:rPr>
          <w:rFonts w:ascii="Arial" w:cs="Arial" w:eastAsia="Arial" w:hAnsi="Arial"/>
          <w:sz w:val="16"/>
          <w:szCs w:val="16"/>
          <w:color w:val="auto"/>
        </w:rPr>
        <w:t>,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-635</wp:posOffset>
            </wp:positionV>
            <wp:extent cx="13804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80490" cy="8255"/>
                    </a:xfrm>
                    <a:prstGeom prst="rect">
                      <a:avLst/>
                    </a:prstGeom>
                    <a:noFill/>
                  </pic:spPr>
                </pic:pic>
              </a:graphicData>
            </a:graphic>
          </wp:anchor>
        </w:drawing>
        <w:drawing>
          <wp:anchor simplePos="0" relativeHeight="251657728" behindDoc="1" locked="0" layoutInCell="0" allowOverlap="1">
            <wp:simplePos x="0" y="0"/>
            <wp:positionH relativeFrom="column">
              <wp:posOffset>4137660</wp:posOffset>
            </wp:positionH>
            <wp:positionV relativeFrom="paragraph">
              <wp:posOffset>268605</wp:posOffset>
            </wp:positionV>
            <wp:extent cx="311531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115310"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8660"/>
        <w:spacing w:after="0"/>
        <w:rPr>
          <w:sz w:val="20"/>
          <w:szCs w:val="20"/>
          <w:color w:val="auto"/>
        </w:rPr>
      </w:pPr>
      <w:r>
        <w:rPr>
          <w:rFonts w:ascii="Arial" w:cs="Arial" w:eastAsia="Arial" w:hAnsi="Arial"/>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4137660</wp:posOffset>
            </wp:positionH>
            <wp:positionV relativeFrom="paragraph">
              <wp:posOffset>142240</wp:posOffset>
            </wp:positionV>
            <wp:extent cx="311531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115310" cy="8255"/>
                    </a:xfrm>
                    <a:prstGeom prst="rect">
                      <a:avLst/>
                    </a:prstGeom>
                    <a:noFill/>
                  </pic:spPr>
                </pic:pic>
              </a:graphicData>
            </a:graphic>
          </wp:anchor>
        </w:drawing>
      </w:r>
    </w:p>
    <w:p>
      <w:pPr>
        <w:spacing w:after="0" w:line="220" w:lineRule="exact"/>
        <w:rPr>
          <w:sz w:val="20"/>
          <w:szCs w:val="20"/>
          <w:color w:val="auto"/>
        </w:rPr>
      </w:pPr>
    </w:p>
    <w:p>
      <w:pPr>
        <w:ind w:left="8660"/>
        <w:spacing w:after="0"/>
        <w:rPr>
          <w:sz w:val="20"/>
          <w:szCs w:val="20"/>
          <w:color w:val="auto"/>
        </w:rPr>
      </w:pPr>
      <w:r>
        <w:rPr>
          <w:rFonts w:ascii="Arial" w:cs="Arial" w:eastAsia="Arial" w:hAnsi="Arial"/>
          <w:sz w:val="16"/>
          <w:szCs w:val="16"/>
          <w:color w:val="auto"/>
        </w:rPr>
        <w:t>Signature</w:t>
      </w:r>
    </w:p>
    <w:p>
      <w:pPr>
        <w:spacing w:after="0" w:line="218" w:lineRule="exact"/>
        <w:rPr>
          <w:sz w:val="20"/>
          <w:szCs w:val="20"/>
          <w:color w:val="auto"/>
        </w:rPr>
      </w:pPr>
    </w:p>
    <w:p>
      <w:pPr>
        <w:ind w:right="380"/>
        <w:spacing w:after="0" w:line="245" w:lineRule="auto"/>
        <w:rPr>
          <w:sz w:val="20"/>
          <w:szCs w:val="20"/>
          <w:color w:val="auto"/>
        </w:rPr>
      </w:pPr>
      <w:r>
        <w:rPr>
          <w:rFonts w:ascii="Arial" w:cs="Arial" w:eastAsia="Arial" w:hAnsi="Arial"/>
          <w:sz w:val="14"/>
          <w:szCs w:val="14"/>
          <w:color w:val="auto"/>
        </w:rPr>
        <w:t>(Signature(s) should agree with the name(s) hereon. Executors, administrators, trustees, guardians, and attorneys should so indicate when signing. For joint accounts, each owner should sign. Corporations should sign their full corporate name by a duly authorized officer.)</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This proxy is revocable at or at any time prior to the meeting.</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Please sign and return this proxy in the accompanying prepaid envelope.</w:t>
      </w:r>
    </w:p>
    <w:p>
      <w:pPr>
        <w:spacing w:after="0" w:line="19" w:lineRule="exact"/>
        <w:rPr>
          <w:sz w:val="20"/>
          <w:szCs w:val="20"/>
          <w:color w:val="auto"/>
        </w:rPr>
      </w:pPr>
    </w:p>
    <w:p>
      <w:pPr>
        <w:spacing w:after="0"/>
        <w:tabs>
          <w:tab w:leader="none" w:pos="200" w:val="left"/>
        </w:tabs>
        <w:rPr>
          <w:sz w:val="20"/>
          <w:szCs w:val="20"/>
          <w:color w:val="auto"/>
        </w:rPr>
      </w:pPr>
      <w:r>
        <w:rPr>
          <w:rFonts w:ascii="Arial" w:cs="Arial" w:eastAsia="Arial" w:hAnsi="Arial"/>
          <w:sz w:val="14"/>
          <w:szCs w:val="14"/>
          <w:color w:val="auto"/>
        </w:rPr>
        <w:t>o</w:t>
      </w:r>
      <w:r>
        <w:rPr>
          <w:sz w:val="20"/>
          <w:szCs w:val="20"/>
          <w:color w:val="auto"/>
        </w:rPr>
        <w:tab/>
      </w:r>
      <w:r>
        <w:rPr>
          <w:rFonts w:ascii="Arial" w:cs="Arial" w:eastAsia="Arial" w:hAnsi="Arial"/>
          <w:sz w:val="12"/>
          <w:szCs w:val="12"/>
          <w:color w:val="auto"/>
        </w:rPr>
        <w:t>Please check if you will attend the Annual Meeting.</w:t>
      </w:r>
    </w:p>
    <w:sectPr>
      <w:pgSz w:w="11900" w:h="16838" w:orient="portrait"/>
      <w:cols w:equalWidth="0" w:num="1">
        <w:col w:w="11120"/>
      </w:cols>
      <w:pgMar w:left="240" w:top="413"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o"/>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o"/>
      <w:numFmt w:val="bullet"/>
      <w:start w:val="1"/>
    </w:lvl>
    <w:lvl w:ilvl="1">
      <w:lvlJc w:val="left"/>
      <w:lvlText w:val="(%2)"/>
      <w:numFmt w:val="decimal"/>
      <w:start w:val="1"/>
    </w:lvl>
  </w:abstractNum>
  <w:abstractNum w:abstractNumId="3">
    <w:nsid w:val="1190CDE7"/>
    <w:multiLevelType w:val="hybridMultilevel"/>
    <w:lvl w:ilvl="0">
      <w:lvlJc w:val="left"/>
      <w:lvlText w:val="(%1)"/>
      <w:numFmt w:val="decimal"/>
      <w:start w:val="4"/>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lvl w:ilvl="1">
      <w:lvlJc w:val="left"/>
      <w:lvlText w:val="%2."/>
      <w:numFmt w:val="decimal"/>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decimal"/>
      <w:start w:val="7"/>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1)"/>
      <w:numFmt w:val="decimal"/>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2019-12-11T22:12:53Z</dcterms:created>
  <dcterms:modified xsi:type="dcterms:W3CDTF">2019-12-11T22:12:53Z</dcterms:modified>
</cp:coreProperties>
</file>