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pPr>
      <w:r>
        <w:rPr>
          <w:rFonts w:ascii="Times New Roman;serif" w:hAnsi="Times New Roman;serif"/>
          <w:b/>
          <w:color w:val="000000"/>
          <w:sz w:val="24"/>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19,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COMMUNITY BANKS,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42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57"/>
        <w:gridCol w:w="657"/>
        <w:gridCol w:w="66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58-1807304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200 East Camperdown 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Greenville, South Carolina 29601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(800) 822-2651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79" w:type="dxa"/>
        <w:jc w:val="left"/>
        <w:tblInd w:w="0" w:type="dxa"/>
        <w:tblLayout w:type="fixed"/>
        <w:tblCellMar>
          <w:top w:w="28" w:type="dxa"/>
          <w:left w:w="28" w:type="dxa"/>
          <w:bottom w:w="28" w:type="dxa"/>
          <w:right w:w="28" w:type="dxa"/>
        </w:tblCellMar>
      </w:tblPr>
      <w:tblGrid>
        <w:gridCol w:w="1114"/>
        <w:gridCol w:w="980"/>
        <w:gridCol w:w="980"/>
        <w:gridCol w:w="540"/>
        <w:gridCol w:w="540"/>
        <w:gridCol w:w="540"/>
        <w:gridCol w:w="1138"/>
        <w:gridCol w:w="1138"/>
        <w:gridCol w:w="1609"/>
      </w:tblGrid>
      <w:tr>
        <w:trPr/>
        <w:tc>
          <w:tcPr>
            <w:tcW w:w="1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85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$1.00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UCB</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New York Stock Exchange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2"/>
        <w:gridCol w:w="255"/>
        <w:gridCol w:w="2755"/>
        <w:gridCol w:w="2755"/>
        <w:gridCol w:w="3900"/>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Departure of Directors or Certain Officers; Election of Directors; Appointment of Certain Officers; Compensatory Arrangements of Certain Officers. </w:t>
            </w:r>
          </w:p>
        </w:tc>
      </w:tr>
    </w:tbl>
    <w:p>
      <w:pPr>
        <w:pStyle w:val="TextBody"/>
        <w:bidi w:val="0"/>
        <w:spacing w:lineRule="auto" w:line="276" w:before="0" w:after="0"/>
        <w:ind w:left="0" w:right="0" w:firstLine="720"/>
        <w:jc w:val="left"/>
        <w:rPr/>
      </w:pPr>
      <w:r>
        <w:rPr>
          <w:rFonts w:ascii="Times New Roman;serif" w:hAnsi="Times New Roman;serif"/>
          <w:b w:val="false"/>
          <w:color w:val="212529"/>
          <w:sz w:val="20"/>
        </w:rPr>
        <w:t>On August 13, 2026, the Board of Directors of United Community Banks, Inc. (the “</w:t>
      </w:r>
      <w:r>
        <w:rPr>
          <w:rFonts w:ascii="Times New Roman;serif" w:hAnsi="Times New Roman;serif"/>
          <w:b/>
          <w:i/>
          <w:color w:val="212529"/>
          <w:sz w:val="20"/>
        </w:rPr>
        <w:t>Company</w:t>
      </w:r>
      <w:r>
        <w:rPr>
          <w:color w:val="212529"/>
        </w:rPr>
        <w:t>”</w:t>
      </w:r>
      <w:r>
        <w:rPr>
          <w:rFonts w:ascii="Times New Roman;serif" w:hAnsi="Times New Roman;serif"/>
          <w:b w:val="false"/>
          <w:color w:val="212529"/>
          <w:sz w:val="20"/>
        </w:rPr>
        <w:t xml:space="preserve">) approved the hiring of Tom Speir to succeed </w:t>
      </w:r>
      <w:r>
        <w:rPr>
          <w:rFonts w:ascii="Times New Roman;serif" w:hAnsi="Times New Roman;serif"/>
          <w:b w:val="false"/>
          <w:color w:val="000000"/>
          <w:sz w:val="20"/>
        </w:rPr>
        <w:t xml:space="preserve">Jefferson L. Harralson </w:t>
      </w:r>
      <w:r>
        <w:rPr>
          <w:rFonts w:ascii="Times New Roman;serif" w:hAnsi="Times New Roman;serif"/>
          <w:b w:val="false"/>
          <w:color w:val="212529"/>
          <w:sz w:val="20"/>
        </w:rPr>
        <w:t>as the Company’s Chief Financial Officer (“</w:t>
      </w:r>
      <w:r>
        <w:rPr>
          <w:rFonts w:ascii="Times New Roman;serif" w:hAnsi="Times New Roman;serif"/>
          <w:b/>
          <w:i/>
          <w:color w:val="212529"/>
          <w:sz w:val="20"/>
        </w:rPr>
        <w:t>CFO</w:t>
      </w:r>
      <w:r>
        <w:rPr>
          <w:color w:val="212529"/>
        </w:rPr>
        <w:t>”</w:t>
      </w:r>
      <w:r>
        <w:rPr>
          <w:rFonts w:ascii="Times New Roman;serif" w:hAnsi="Times New Roman;serif"/>
          <w:b w:val="false"/>
          <w:color w:val="212529"/>
          <w:sz w:val="20"/>
        </w:rPr>
        <w:t>) effective September 8, 2026 (the “</w:t>
      </w:r>
      <w:r>
        <w:rPr>
          <w:rFonts w:ascii="Times New Roman;serif" w:hAnsi="Times New Roman;serif"/>
          <w:b/>
          <w:i/>
          <w:color w:val="212529"/>
          <w:sz w:val="20"/>
        </w:rPr>
        <w:t>Transition Date</w:t>
      </w:r>
      <w:r>
        <w:rPr>
          <w:color w:val="212529"/>
        </w:rPr>
        <w:t>”</w:t>
      </w:r>
      <w:r>
        <w:rPr>
          <w:rFonts w:ascii="Times New Roman;serif" w:hAnsi="Times New Roman;serif"/>
          <w:b w:val="false"/>
          <w:color w:val="212529"/>
          <w:sz w:val="20"/>
        </w:rPr>
        <w:t>). Mr. Harralson will continue as CFO until the Transition Date and, thereafter, in order to ensure an orderly transition of his duties and responsibilities, will continue in his employment with the Company from the Transition Date through December 31, 2026. Mr. Harralson’s continued employment is pursuant to his a</w:t>
      </w:r>
      <w:r>
        <w:rPr>
          <w:rFonts w:ascii="Times New Roman;serif" w:hAnsi="Times New Roman;serif"/>
          <w:b w:val="false"/>
          <w:color w:val="000000"/>
          <w:sz w:val="20"/>
        </w:rPr>
        <w:t>greement dated April 28, 2026, a copy of which was filed as Exhibit 10.1 to the Company’s Current Report on Form 8-K dated and filed with the Commission on April 28, 2026, which is incorporated herein by this reference</w:t>
      </w:r>
      <w:r>
        <w:rPr>
          <w:rFonts w:ascii="Times New Roman;serif" w:hAnsi="Times New Roman;serif"/>
          <w:b w:val="false"/>
          <w:color w:val="212529"/>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12529"/>
          <w:sz w:val="20"/>
        </w:rPr>
        <w:t xml:space="preserve">Mr. Speir, age 44, has more than 20 years of experience in financial services, having held a diverse array of roles in corporate treasury, strategy, corporate development and portfolio management. Since April 2026, Mr. Speir has served as </w:t>
      </w:r>
      <w:r>
        <w:rPr>
          <w:rFonts w:ascii="Times New Roman;serif" w:hAnsi="Times New Roman;serif"/>
          <w:b w:val="false"/>
          <w:color w:val="262626"/>
          <w:sz w:val="20"/>
        </w:rPr>
        <w:t xml:space="preserve">Head of Investor Relations, Strategy and Corporate Development for Regions Financial Corp. (Regions Bank), having previously led Regions’ Strategy and Corporate Development group, responsibilities retained when he assumed the role as Head of Investor Relations. After joining Regions in 2009, he served in various leadership roles in Corporate Treasury, including Assistant Treasurer and head of Balance Sheet Management from 2018 until 2022, when he was appointed to lead the Strategy and Corporate Development team. Prior to joining Regions, he served in Wachovia Bank’s Treasury organization as Securitized Products Portfolio Manager. Speir holds a bachelor’s degree in Business Management with a Finance concentration from North Carolina State University.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There are no arrangements or understandings between Mr. Speir and any other persons pursuant to which Mr. Speir was selected to become CFO, nor are there any family relationships between Mr. Speir and any of the Company’s directors or other executive officers. Neither Mr. Speir nor any person related to Mr. Speir has a direct or indirect material interest in any existing or currently proposed transaction to which the Company is or may become a participant that would require disclosure under Item 404(a) of Regulation S-K promulgated under the Securities Exchange Act of 1934, as amended.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Executive Vice President and CFO, Mr. Speir will be a party to the Company’s standard Change in Control Continuity Agreement for executives at his level, the form of which is filed as Exhibit 10.2 to the Company’s Current Report on Form 8-K dated and filed with the Commission on February 14, 2023 and incorporated herein by this reference. The terms and conditions of the Company’s Change in Control Continuity Agreements are set forth on pages 56-57 of the Company’s Definitive Proxy Statement sent in connection with its Annual Meeting of Shareholders on May 13, 2026 and filed with the Commission on April 1, 2026, which terms and conditions are incorporated herein by this reference.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addition to the benefits generally available to other executives at the Company (</w:t>
      </w:r>
      <w:r>
        <w:rPr>
          <w:rFonts w:ascii="Times New Roman;serif" w:hAnsi="Times New Roman;serif"/>
          <w:b w:val="false"/>
          <w:i/>
          <w:color w:val="000000"/>
          <w:sz w:val="20"/>
        </w:rPr>
        <w:t>e.g.</w:t>
      </w:r>
      <w:r>
        <w:rPr>
          <w:rFonts w:ascii="Times New Roman;serif" w:hAnsi="Times New Roman;serif"/>
          <w:b w:val="false"/>
          <w:color w:val="000000"/>
          <w:sz w:val="20"/>
        </w:rPr>
        <w:t>, vacation, group health, retirement, paid time off), Mr. Speir’s compensation will consist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Base salary - $600,000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target bonus – 80% of base salary (with 2026 bonus at 100% of target, subject to company performance multiplier)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Sign-on bonus - $215,000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target equity grant – 115% of base salary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Sign-on equity grant – Valued at $450,000, subject to vesting 50% per year over 2 years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Auto allowance - $15,000 per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Club dues - $20,000 per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Temporary housing allowance - $3,000 per month for a maximum of nine months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Relocation – eligible for up to $30,000 reimbursement</w: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19, 2026, the Company issued the press release that is furnished as Exhibit 99.1 to this Current Report on Form 8-K, which by this reference is incorporated herein as if copied verbatim, announcing the appointment of Mr. Speir as the Company’s CFO.</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See exhibit index below for the list of exhibits filed or furnished with this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64" w:type="dxa"/>
        <w:jc w:val="left"/>
        <w:tblInd w:w="0" w:type="dxa"/>
        <w:tblLayout w:type="fixed"/>
        <w:tblCellMar>
          <w:top w:w="28" w:type="dxa"/>
          <w:left w:w="28" w:type="dxa"/>
          <w:bottom w:w="28" w:type="dxa"/>
          <w:right w:w="28" w:type="dxa"/>
        </w:tblCellMar>
      </w:tblPr>
      <w:tblGrid>
        <w:gridCol w:w="288"/>
        <w:gridCol w:w="253"/>
        <w:gridCol w:w="253"/>
        <w:gridCol w:w="253"/>
        <w:gridCol w:w="253"/>
        <w:gridCol w:w="3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bl>
    <w:tbl>
      <w:tblPr>
        <w:tblW w:w="7784" w:type="dxa"/>
        <w:jc w:val="left"/>
        <w:tblInd w:w="0" w:type="dxa"/>
        <w:tblLayout w:type="fixed"/>
        <w:tblCellMar>
          <w:top w:w="28" w:type="dxa"/>
          <w:left w:w="28" w:type="dxa"/>
          <w:bottom w:w="28" w:type="dxa"/>
          <w:right w:w="28" w:type="dxa"/>
        </w:tblCellMar>
      </w:tblPr>
      <w:tblGrid>
        <w:gridCol w:w="391"/>
        <w:gridCol w:w="344"/>
        <w:gridCol w:w="345"/>
        <w:gridCol w:w="1960"/>
        <w:gridCol w:w="1960"/>
        <w:gridCol w:w="278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ex991cfopressrelease81926.htm">
              <w:r>
                <w:rPr>
                  <w:rStyle w:val="InternetLink"/>
                  <w:rFonts w:ascii="Times New Roman;serif" w:hAnsi="Times New Roman;serif"/>
                  <w:b w:val="false"/>
                  <w:color w:val="0000FF"/>
                  <w:sz w:val="20"/>
                  <w:u w:val="single"/>
                </w:rPr>
                <w:t>99.1</w:t>
              </w:r>
            </w:hyperlink>
          </w:p>
        </w:tc>
        <w:tc>
          <w:tcPr>
            <w:tcW w:w="6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991cfopressrelease81926.htm">
              <w:r>
                <w:rPr>
                  <w:rStyle w:val="InternetLink"/>
                  <w:rFonts w:ascii="Times New Roman;serif" w:hAnsi="Times New Roman;serif"/>
                  <w:b w:val="false"/>
                  <w:color w:val="0000FF"/>
                  <w:sz w:val="20"/>
                  <w:u w:val="single"/>
                </w:rPr>
                <w:t>Press Release, dated August 19, 2026 (furnished only).</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5"/>
        <w:gridCol w:w="593"/>
        <w:gridCol w:w="595"/>
        <w:gridCol w:w="475"/>
        <w:gridCol w:w="475"/>
        <w:gridCol w:w="475"/>
        <w:gridCol w:w="2057"/>
        <w:gridCol w:w="2038"/>
        <w:gridCol w:w="2822"/>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w:t>
            </w:r>
            <w:r>
              <w:rPr>
                <w:rFonts w:ascii="Times New Roman;serif" w:hAnsi="Times New Roman;serif"/>
                <w:b w:val="false"/>
                <w:i/>
                <w:color w:val="000000"/>
                <w:sz w:val="20"/>
              </w:rPr>
              <w:t>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Melinda Davis Lux</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Melinda Davis Lux</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Administrative Officer, General Counsel, and Corporate Secretary</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8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4"/>
        </w:rPr>
      </w:pPr>
      <w:r>
        <w:rPr>
          <w:rFonts w:ascii="sans-serif" w:hAnsi="sans-serif"/>
          <w:b w:val="false"/>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381375" cy="10191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81375" cy="1019175"/>
                    </a:xfrm>
                    <a:prstGeom prst="rect">
                      <a:avLst/>
                    </a:prstGeom>
                  </pic:spPr>
                </pic:pic>
              </a:graphicData>
            </a:graphic>
          </wp:inline>
        </w:drawing>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Contact: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Joy Marshall </w:t>
      </w:r>
    </w:p>
    <w:p>
      <w:pPr>
        <w:pStyle w:val="TextBody"/>
        <w:bidi w:val="0"/>
        <w:spacing w:lineRule="auto" w:line="288" w:before="0" w:after="0"/>
        <w:jc w:val="left"/>
        <w:rPr>
          <w:rFonts w:ascii="sans-serif" w:hAnsi="sans-serif"/>
          <w:b w:val="false"/>
          <w:color w:val="467885"/>
          <w:sz w:val="24"/>
        </w:rPr>
      </w:pPr>
      <w:r>
        <w:rPr>
          <w:rFonts w:ascii="sans-serif" w:hAnsi="sans-serif"/>
          <w:b w:val="false"/>
          <w:color w:val="467885"/>
          <w:sz w:val="24"/>
        </w:rPr>
        <w:t xml:space="preserve">joy_marshall@ucbi.com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(864) 241-8738</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United Community Names Tom Speir as New Chief Financial Officer </w:t>
      </w:r>
    </w:p>
    <w:p>
      <w:pPr>
        <w:pStyle w:val="TextBody"/>
        <w:bidi w:val="0"/>
        <w:spacing w:lineRule="auto" w:line="288" w:before="0" w:after="0"/>
        <w:jc w:val="center"/>
        <w:rPr>
          <w:rFonts w:ascii="sans-serif" w:hAnsi="sans-serif"/>
          <w:b/>
          <w:i/>
          <w:color w:val="000000"/>
          <w:sz w:val="20"/>
        </w:rPr>
      </w:pPr>
      <w:r>
        <w:rPr>
          <w:rFonts w:ascii="sans-serif" w:hAnsi="sans-serif"/>
          <w:b/>
          <w:i/>
          <w:color w:val="000000"/>
          <w:sz w:val="20"/>
        </w:rPr>
        <w:t>Seasoned banking executive brings deep financial, M&amp;A, and investor relations experience to support United's continued growth</w:t>
      </w:r>
    </w:p>
    <w:p>
      <w:pPr>
        <w:pStyle w:val="TextBody"/>
        <w:bidi w:val="0"/>
        <w:spacing w:before="150" w:after="150"/>
        <w:jc w:val="left"/>
        <w:rPr/>
      </w:pPr>
      <w:r>
        <w:rPr/>
      </w:r>
    </w:p>
    <w:p>
      <w:pPr>
        <w:pStyle w:val="TextBody"/>
        <w:bidi w:val="0"/>
        <w:spacing w:lineRule="auto" w:line="288" w:before="150" w:after="150"/>
        <w:jc w:val="left"/>
        <w:rPr/>
      </w:pPr>
      <w:r>
        <w:rPr>
          <w:rFonts w:ascii="sans-serif" w:hAnsi="sans-serif"/>
          <w:b/>
          <w:color w:val="000000"/>
          <w:sz w:val="24"/>
        </w:rPr>
        <w:t>GREENVILLE, S.C., August 19, 2026 /PRNewswire/</w:t>
      </w:r>
      <w:r>
        <w:rPr>
          <w:color w:val="000000"/>
        </w:rPr>
        <w:t xml:space="preserve"> — </w:t>
      </w:r>
      <w:r>
        <w:rPr>
          <w:rFonts w:ascii="sans-serif" w:hAnsi="sans-serif"/>
          <w:b w:val="false"/>
          <w:color w:val="000000"/>
          <w:sz w:val="24"/>
        </w:rPr>
        <w:t>United Community (NYSE: UCB) today announced that Tom Speir has been named executive vice president and chief financial officer.</w:t>
      </w:r>
    </w:p>
    <w:p>
      <w:pPr>
        <w:pStyle w:val="TextBody"/>
        <w:bidi w:val="0"/>
        <w:spacing w:lineRule="auto" w:line="288" w:before="150" w:after="150"/>
        <w:jc w:val="left"/>
        <w:rPr>
          <w:rFonts w:ascii="sans-serif" w:hAnsi="sans-serif"/>
          <w:b w:val="false"/>
          <w:color w:val="000000"/>
          <w:sz w:val="24"/>
        </w:rPr>
      </w:pPr>
      <w:r>
        <w:rPr>
          <w:rFonts w:ascii="sans-serif" w:hAnsi="sans-serif"/>
          <w:b w:val="false"/>
          <w:color w:val="000000"/>
          <w:sz w:val="24"/>
        </w:rPr>
        <w:t>Speir brings mothan two decades of financial experience, including balance sheet management, M&amp;A, strategic planning, and investor relations. In this role, he will shape the bank’s financial direction, oversee capital management and investor relations, and help guide United’s long-term growth and financial strength.</w:t>
      </w:r>
    </w:p>
    <w:p>
      <w:pPr>
        <w:pStyle w:val="TextBody"/>
        <w:bidi w:val="0"/>
        <w:spacing w:lineRule="auto" w:line="288" w:before="150" w:after="150"/>
        <w:jc w:val="left"/>
        <w:rPr>
          <w:color w:val="000000"/>
        </w:rPr>
      </w:pPr>
      <w:r>
        <w:rPr>
          <w:color w:val="000000"/>
        </w:rPr>
        <w:t>“</w:t>
      </w:r>
      <w:r>
        <w:rPr>
          <w:rFonts w:ascii="sans-serif" w:hAnsi="sans-serif"/>
          <w:b w:val="false"/>
          <w:color w:val="000000"/>
          <w:sz w:val="24"/>
        </w:rPr>
        <w:t xml:space="preserve">I am excited to welcome Tom to the United team. He brings proven experience to the role, including clear financial expertise, strategic planning skills, and solid relationships in the investment community,” said Chief Executive Officer Lynn Harton. “Those strengths will help us continue to grow our company and position us for a great future. Tom is a great cultural fit as well, with the right values and approach to connect with our employees and customers.” </w:t>
      </w:r>
    </w:p>
    <w:p>
      <w:pPr>
        <w:pStyle w:val="TextBody"/>
        <w:bidi w:val="0"/>
        <w:spacing w:lineRule="auto" w:line="288" w:before="150" w:after="150"/>
        <w:jc w:val="left"/>
        <w:rPr>
          <w:color w:val="000000"/>
        </w:rPr>
      </w:pPr>
      <w:r>
        <w:rPr>
          <w:color w:val="000000"/>
        </w:rPr>
        <w:t>“</w:t>
      </w:r>
      <w:r>
        <w:rPr>
          <w:rFonts w:ascii="sans-serif" w:hAnsi="sans-serif"/>
          <w:b w:val="false"/>
          <w:color w:val="000000"/>
          <w:sz w:val="24"/>
        </w:rPr>
        <w:t>I am honored to join United at such an exciting time for the company,” said Speir. “What attracted me most was the culture, the values, and the shared commitment to improving the financial well-being of the customers and communities we serve. I look forward to working alongside this talented team as we build on United's success and continue growing together.”</w:t>
      </w:r>
    </w:p>
    <w:p>
      <w:pPr>
        <w:pStyle w:val="TextBody"/>
        <w:bidi w:val="0"/>
        <w:spacing w:lineRule="auto" w:line="288" w:before="150" w:after="150"/>
        <w:jc w:val="left"/>
        <w:rPr>
          <w:rFonts w:ascii="sans-serif" w:hAnsi="sans-serif"/>
          <w:b w:val="false"/>
          <w:color w:val="000000"/>
          <w:sz w:val="24"/>
        </w:rPr>
      </w:pPr>
      <w:r>
        <w:rPr>
          <w:rFonts w:ascii="sans-serif" w:hAnsi="sans-serif"/>
          <w:b w:val="false"/>
          <w:color w:val="000000"/>
          <w:sz w:val="24"/>
        </w:rPr>
        <w:t xml:space="preserve">Speir will join the Greenville, S.C.-based bank on September 8, succeeding Jefferson Harralson, who announced his retirement earlier this year.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1339</Words>
  <Characters>7342</Characters>
  <CharactersWithSpaces>8613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