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306070</wp:posOffset>
            </wp:positionV>
            <wp:extent cx="52139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366395</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UNITED STATES</w:t>
      </w:r>
    </w:p>
    <w:p>
      <w:pPr>
        <w:jc w:val="center"/>
        <w:ind w:right="-520"/>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SCHEDULE 14A INFORMATION</w:t>
      </w:r>
    </w:p>
    <w:p>
      <w:pPr>
        <w:spacing w:after="0" w:line="19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 w:lineRule="exact"/>
        <w:rPr>
          <w:sz w:val="24"/>
          <w:szCs w:val="24"/>
          <w:color w:val="auto"/>
        </w:rPr>
      </w:pPr>
    </w:p>
    <w:p>
      <w:pPr>
        <w:jc w:val="center"/>
        <w:ind w:right="-520"/>
        <w:spacing w:after="0"/>
        <w:tabs>
          <w:tab w:leader="none" w:pos="160" w:val="left"/>
        </w:tabs>
        <w:rPr>
          <w:sz w:val="20"/>
          <w:szCs w:val="20"/>
          <w:color w:val="auto"/>
        </w:rPr>
      </w:pPr>
      <w:r>
        <w:rPr>
          <w:rFonts w:ascii="Arial" w:cs="Arial" w:eastAsia="Arial" w:hAnsi="Arial"/>
          <w:sz w:val="17"/>
          <w:szCs w:val="17"/>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5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69" w:lineRule="exact"/>
        <w:rPr>
          <w:sz w:val="24"/>
          <w:szCs w:val="24"/>
          <w:color w:val="auto"/>
        </w:rPr>
      </w:pPr>
    </w:p>
    <w:p>
      <w:pPr>
        <w:jc w:val="center"/>
        <w:ind w:right="-520"/>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-1270</wp:posOffset>
            </wp:positionV>
            <wp:extent cx="52139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0"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220980</wp:posOffset>
            </wp:positionV>
            <wp:extent cx="5213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73"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1620" w:hanging="352"/>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1980" w:right="759" w:hanging="352"/>
        <w:spacing w:after="0" w:line="308" w:lineRule="auto"/>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8" w:lineRule="exact"/>
        <w:rPr>
          <w:rFonts w:ascii="Arial" w:cs="Arial" w:eastAsia="Arial" w:hAnsi="Arial"/>
          <w:sz w:val="17"/>
          <w:szCs w:val="17"/>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1620" w:right="759" w:hanging="352"/>
        <w:spacing w:after="0" w:line="264"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-3543300</wp:posOffset>
            </wp:positionV>
            <wp:extent cx="4751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-3192145</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-2703195</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-2351405</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-2008505</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-944880</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-593090</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-233045</wp:posOffset>
            </wp:positionV>
            <wp:extent cx="4751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118110</wp:posOffset>
            </wp:positionV>
            <wp:extent cx="4751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229235</wp:posOffset>
            </wp:positionV>
            <wp:extent cx="5213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272415</wp:posOffset>
            </wp:positionV>
            <wp:extent cx="52139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525145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306070</wp:posOffset>
            </wp:positionV>
            <wp:extent cx="2358390"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83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125 HIGHWAY 515 EAST</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235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235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To Be Held on May 13, 2015</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Annual Meeting of Shareholders of United Community Banks, Inc. will be held on May 13, 2015 at 2:00 p.m. at</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Ridges Resort, 3499 Highway 76 West, Young Harris, Georgia:</w:t>
      </w:r>
    </w:p>
    <w:p>
      <w:pPr>
        <w:spacing w:after="0" w:line="130" w:lineRule="exact"/>
        <w:rPr>
          <w:sz w:val="20"/>
          <w:szCs w:val="20"/>
          <w:color w:val="auto"/>
        </w:rPr>
      </w:pPr>
    </w:p>
    <w:p>
      <w:pPr>
        <w:ind w:left="1560" w:right="319" w:hanging="364"/>
        <w:spacing w:after="0" w:line="246"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 to constitute the Board of Directors to serve until the next annual meeting and until their successors are elected and qualified.</w:t>
      </w:r>
    </w:p>
    <w:p>
      <w:pPr>
        <w:spacing w:after="0" w:line="75" w:lineRule="exact"/>
        <w:rPr>
          <w:rFonts w:ascii="Arial" w:cs="Arial" w:eastAsia="Arial" w:hAnsi="Arial"/>
          <w:sz w:val="18"/>
          <w:szCs w:val="18"/>
          <w:color w:val="auto"/>
        </w:rPr>
      </w:pPr>
    </w:p>
    <w:p>
      <w:pPr>
        <w:ind w:left="1560" w:right="319" w:hanging="364"/>
        <w:spacing w:after="0" w:line="246" w:lineRule="auto"/>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re-approve the material terms of the performance goals under the Management Incentive Plan pursuant to Section 162(m) of the Internal Revenue Code.</w:t>
      </w:r>
    </w:p>
    <w:p>
      <w:pPr>
        <w:spacing w:after="0" w:line="88" w:lineRule="exact"/>
        <w:rPr>
          <w:rFonts w:ascii="Arial" w:cs="Arial" w:eastAsia="Arial" w:hAnsi="Arial"/>
          <w:sz w:val="18"/>
          <w:szCs w:val="18"/>
          <w:color w:val="auto"/>
        </w:rPr>
      </w:pPr>
    </w:p>
    <w:p>
      <w:pPr>
        <w:ind w:left="1560" w:hanging="364"/>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advisory “say on pay” resolution supporting the compensation plan for executive officers.</w:t>
      </w:r>
    </w:p>
    <w:p>
      <w:pPr>
        <w:spacing w:after="0" w:line="117" w:lineRule="exact"/>
        <w:rPr>
          <w:rFonts w:ascii="Arial" w:cs="Arial" w:eastAsia="Arial" w:hAnsi="Arial"/>
          <w:sz w:val="18"/>
          <w:szCs w:val="18"/>
          <w:color w:val="auto"/>
        </w:rPr>
      </w:pPr>
    </w:p>
    <w:p>
      <w:pPr>
        <w:ind w:left="1560" w:hanging="364"/>
        <w:spacing w:after="0"/>
        <w:tabs>
          <w:tab w:leader="none" w:pos="1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independent registered public accountant for 2015.</w:t>
      </w:r>
    </w:p>
    <w:p>
      <w:pPr>
        <w:spacing w:after="0" w:line="140" w:lineRule="exact"/>
        <w:rPr>
          <w:rFonts w:ascii="Arial" w:cs="Arial" w:eastAsia="Arial" w:hAnsi="Arial"/>
          <w:sz w:val="16"/>
          <w:szCs w:val="16"/>
          <w:color w:val="auto"/>
        </w:rPr>
      </w:pPr>
    </w:p>
    <w:p>
      <w:pPr>
        <w:ind w:left="1560" w:hanging="364"/>
        <w:spacing w:after="0"/>
        <w:tabs>
          <w:tab w:leader="none" w:pos="1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act upon other matters that may properly come before the meeting or any adjournment thereof.</w:t>
      </w:r>
    </w:p>
    <w:p>
      <w:pPr>
        <w:spacing w:after="0" w:line="113" w:lineRule="exact"/>
        <w:rPr>
          <w:sz w:val="20"/>
          <w:szCs w:val="20"/>
          <w:color w:val="auto"/>
        </w:rPr>
      </w:pPr>
    </w:p>
    <w:p>
      <w:pPr>
        <w:jc w:val="both"/>
        <w:ind w:left="840" w:right="299" w:firstLine="360"/>
        <w:spacing w:after="0" w:line="246" w:lineRule="auto"/>
        <w:rPr>
          <w:sz w:val="20"/>
          <w:szCs w:val="20"/>
          <w:color w:val="auto"/>
        </w:rPr>
      </w:pPr>
      <w:r>
        <w:rPr>
          <w:rFonts w:ascii="Arial" w:cs="Arial" w:eastAsia="Arial" w:hAnsi="Arial"/>
          <w:sz w:val="18"/>
          <w:szCs w:val="18"/>
          <w:color w:val="auto"/>
        </w:rPr>
        <w:t>Only shareholders of record at the close of business on March 14, 2015 will be entitled to notice of, and to vote at, the meeting. A proxy statement and a proxy solicited by the Board of Directors are enclosed.</w:t>
      </w:r>
    </w:p>
    <w:p>
      <w:pPr>
        <w:spacing w:after="0" w:line="62" w:lineRule="exact"/>
        <w:rPr>
          <w:sz w:val="20"/>
          <w:szCs w:val="20"/>
          <w:color w:val="auto"/>
        </w:rPr>
      </w:pPr>
    </w:p>
    <w:p>
      <w:pPr>
        <w:jc w:val="both"/>
        <w:ind w:left="840" w:right="319" w:firstLine="360"/>
        <w:spacing w:after="0" w:line="261"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our shareholders, instead of a paper copy of our proxy materials, which include this proxy statement, our 2014 Annual Report to Shareholders and our Annual Report on Form 10-K for the year ended December 31, 2014, with instructions on how to access such proxy materials over the Internet.</w:t>
      </w:r>
    </w:p>
    <w:p>
      <w:pPr>
        <w:spacing w:after="0" w:line="53" w:lineRule="exact"/>
        <w:rPr>
          <w:sz w:val="20"/>
          <w:szCs w:val="20"/>
          <w:color w:val="auto"/>
        </w:rPr>
      </w:pPr>
    </w:p>
    <w:p>
      <w:pPr>
        <w:jc w:val="both"/>
        <w:ind w:left="840" w:right="299" w:firstLine="360"/>
        <w:spacing w:after="0" w:line="226" w:lineRule="auto"/>
        <w:rPr>
          <w:sz w:val="20"/>
          <w:szCs w:val="20"/>
          <w:color w:val="auto"/>
        </w:rPr>
      </w:pPr>
      <w:r>
        <w:rPr>
          <w:rFonts w:ascii="Arial" w:cs="Arial" w:eastAsia="Arial" w:hAnsi="Arial"/>
          <w:sz w:val="18"/>
          <w:szCs w:val="18"/>
          <w:color w:val="auto"/>
        </w:rPr>
        <w:t>To ensure that your vote is recorded promptly, please vote as soon as possible. Many shareholders of record have multiple options for submitting their vote before the meeting. You may vote via the Internet or telephone (see the instructions on the Notice). Or, if you are a registered shareholder and have not voted online by April 17, 2015, you will receive a second mailing with the proxy card and instructions on how to vote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67" w:lineRule="exact"/>
        <w:rPr>
          <w:sz w:val="20"/>
          <w:szCs w:val="20"/>
          <w:color w:val="auto"/>
        </w:rPr>
      </w:pPr>
    </w:p>
    <w:p>
      <w:pPr>
        <w:jc w:val="both"/>
        <w:ind w:left="840" w:right="319" w:firstLine="360"/>
        <w:spacing w:after="0" w:line="275" w:lineRule="auto"/>
        <w:rPr>
          <w:sz w:val="20"/>
          <w:szCs w:val="20"/>
          <w:color w:val="auto"/>
        </w:rPr>
      </w:pPr>
      <w:r>
        <w:rPr>
          <w:rFonts w:ascii="Arial" w:cs="Arial" w:eastAsia="Arial" w:hAnsi="Arial"/>
          <w:sz w:val="17"/>
          <w:szCs w:val="17"/>
          <w:color w:val="auto"/>
        </w:rPr>
        <w:t>If your shares are held in “street name,” meaning that your shares are held for your account by a broker or other nominee, you will receive instructions from the holder of record that you must follow for your shares to be voted.</w:t>
      </w:r>
    </w:p>
    <w:p>
      <w:pPr>
        <w:spacing w:after="0" w:line="4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51435</wp:posOffset>
            </wp:positionV>
            <wp:extent cx="11322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22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00" w:right="379"/>
        <w:spacing w:after="0" w:line="236"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CARD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-375285</wp:posOffset>
            </wp:positionV>
            <wp:extent cx="576326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3260" cy="4629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323215</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9"/>
            <w:shd w:val="clear" w:color="auto" w:fill="CCEEFF"/>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QUESTIONS AND ANSWERS ABOUT THE ANNUAL MEETING</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37"/>
        </w:trPr>
        <w:tc>
          <w:tcPr>
            <w:tcW w:w="5260" w:type="dxa"/>
            <w:vAlign w:val="bottom"/>
            <w:tcBorders>
              <w:top w:val="single" w:sz="8" w:color="0000EE"/>
            </w:tcBorders>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What is the purpose of the Annual Meeting?</w:t>
              </w:r>
            </w:hyperlink>
          </w:p>
        </w:tc>
        <w:tc>
          <w:tcPr>
            <w:tcW w:w="2640" w:type="dxa"/>
            <w:vAlign w:val="bottom"/>
            <w:tcBorders>
              <w:top w:val="single" w:sz="8" w:color="CCEEFF"/>
            </w:tcBorders>
            <w:gridSpan w:val="5"/>
          </w:tcPr>
          <w:p>
            <w:pPr>
              <w:spacing w:after="0"/>
              <w:rPr>
                <w:sz w:val="20"/>
                <w:szCs w:val="20"/>
                <w:color w:val="auto"/>
              </w:rPr>
            </w:pPr>
          </w:p>
        </w:tc>
        <w:tc>
          <w:tcPr>
            <w:tcW w:w="220" w:type="dxa"/>
            <w:vAlign w:val="bottom"/>
            <w:tcBorders>
              <w:top w:val="single" w:sz="8" w:color="CCEEFF"/>
            </w:tcBorders>
            <w:gridSpan w:val="2"/>
          </w:tcPr>
          <w:p>
            <w:pPr>
              <w:spacing w:after="0"/>
              <w:rPr>
                <w:sz w:val="20"/>
                <w:szCs w:val="20"/>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7900" w:type="dxa"/>
            <w:vAlign w:val="bottom"/>
            <w:gridSpan w:val="29"/>
            <w:shd w:val="clear" w:color="auto" w:fill="CCEEFF"/>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Why did I receive a notice in the mail regarding the Internet availability of the proxy materials instead of</w:t>
              </w:r>
            </w:hyperlink>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680" w:type="dxa"/>
            <w:vAlign w:val="bottom"/>
            <w:tcBorders>
              <w:top w:val="single" w:sz="8" w:color="0000EE"/>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 paper copy of the proxy materials?</w:t>
              </w:r>
            </w:hyperlink>
          </w:p>
        </w:tc>
        <w:tc>
          <w:tcPr>
            <w:tcW w:w="470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43"/>
        </w:trPr>
        <w:tc>
          <w:tcPr>
            <w:tcW w:w="790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Who is entitled to vote?</w:t>
              </w:r>
            </w:hyperlink>
          </w:p>
        </w:tc>
        <w:tc>
          <w:tcPr>
            <w:tcW w:w="3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7900" w:type="dxa"/>
            <w:vAlign w:val="bottom"/>
            <w:gridSpan w:val="2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How do I cast my vote?</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790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What are the quorum and voting requirements?</w:t>
              </w:r>
            </w:hyperlink>
          </w:p>
        </w:tc>
        <w:tc>
          <w:tcPr>
            <w:tcW w:w="3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37"/>
        </w:trPr>
        <w:tc>
          <w:tcPr>
            <w:tcW w:w="3420" w:type="dxa"/>
            <w:vAlign w:val="bottom"/>
            <w:tcBorders>
              <w:top w:val="single" w:sz="8" w:color="0000EE"/>
              <w:right w:val="single" w:sz="8" w:color="CCEEFF"/>
            </w:tcBorders>
            <w:gridSpan w:val="1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How are votes counted?</w:t>
              </w:r>
            </w:hyperlink>
          </w:p>
        </w:tc>
        <w:tc>
          <w:tcPr>
            <w:tcW w:w="4480" w:type="dxa"/>
            <w:vAlign w:val="bottom"/>
            <w:gridSpan w:val="10"/>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9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Will other matters be voted on at the Annual Meeting?</w:t>
              </w:r>
            </w:hyperlink>
          </w:p>
        </w:tc>
        <w:tc>
          <w:tcPr>
            <w:tcW w:w="3940" w:type="dxa"/>
            <w:vAlign w:val="bottom"/>
            <w:gridSpan w:val="8"/>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7900" w:type="dxa"/>
            <w:vAlign w:val="bottom"/>
            <w:gridSpan w:val="29"/>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Can I revoke my proxy instructions?</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900" w:type="dxa"/>
            <w:vAlign w:val="bottom"/>
            <w:gridSpan w:val="2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What other information should I review before voting?</w:t>
              </w:r>
            </w:hyperlink>
          </w:p>
        </w:tc>
        <w:tc>
          <w:tcPr>
            <w:tcW w:w="32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45"/>
        </w:trPr>
        <w:tc>
          <w:tcPr>
            <w:tcW w:w="7320" w:type="dxa"/>
            <w:vAlign w:val="bottom"/>
            <w:tcBorders>
              <w:bottom w:val="single" w:sz="8" w:color="0000EE"/>
            </w:tcBorders>
            <w:gridSpan w:val="27"/>
            <w:shd w:val="clear" w:color="auto" w:fill="CCEEFF"/>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IMPORTANT NOTICE REGARDING THE AVAILABILITY OF PROXY MATERIALS FOR</w:t>
              </w:r>
            </w:hyperlink>
          </w:p>
        </w:tc>
        <w:tc>
          <w:tcPr>
            <w:tcW w:w="580" w:type="dxa"/>
            <w:vAlign w:val="bottom"/>
            <w:tcBorders>
              <w:bottom w:val="single" w:sz="8" w:color="CCEEFF"/>
            </w:tcBorders>
            <w:gridSpan w:val="2"/>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534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THE SHAREHOLDER MEETING TO BE HELD ON MAY 13, 2015</w:t>
              </w:r>
            </w:hyperlink>
          </w:p>
        </w:tc>
        <w:tc>
          <w:tcPr>
            <w:tcW w:w="238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365"/>
        </w:trPr>
        <w:tc>
          <w:tcPr>
            <w:tcW w:w="3760" w:type="dxa"/>
            <w:vAlign w:val="bottom"/>
            <w:tcBorders>
              <w:bottom w:val="single" w:sz="8" w:color="0000EE"/>
            </w:tcBorders>
            <w:gridSpan w:val="20"/>
          </w:tcPr>
          <w:p>
            <w:pPr>
              <w:spacing w:after="0"/>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PROPOSAL 1 — ELECTION OF DIRECTORS</w:t>
              </w:r>
            </w:hyperlink>
          </w:p>
        </w:tc>
        <w:tc>
          <w:tcPr>
            <w:tcW w:w="4140" w:type="dxa"/>
            <w:vAlign w:val="bottom"/>
            <w:gridSpan w:val="9"/>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50"/>
        </w:trPr>
        <w:tc>
          <w:tcPr>
            <w:tcW w:w="9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Introduction</w:t>
              </w:r>
            </w:hyperlink>
          </w:p>
        </w:tc>
        <w:tc>
          <w:tcPr>
            <w:tcW w:w="7000" w:type="dxa"/>
            <w:vAlign w:val="bottom"/>
            <w:tcBorders>
              <w:bottom w:val="single" w:sz="8" w:color="CCEEFF"/>
            </w:tcBorders>
            <w:gridSpan w:val="27"/>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50"/>
        </w:trPr>
        <w:tc>
          <w:tcPr>
            <w:tcW w:w="334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Information Regarding Nominees for Director</w:t>
              </w:r>
            </w:hyperlink>
          </w:p>
        </w:tc>
        <w:tc>
          <w:tcPr>
            <w:tcW w:w="4560" w:type="dxa"/>
            <w:vAlign w:val="bottom"/>
            <w:gridSpan w:val="11"/>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50"/>
        </w:trPr>
        <w:tc>
          <w:tcPr>
            <w:tcW w:w="7900" w:type="dxa"/>
            <w:vAlign w:val="bottom"/>
            <w:gridSpan w:val="29"/>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Director Emeritus</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Board Independence</w:t>
              </w:r>
            </w:hyperlink>
          </w:p>
        </w:tc>
        <w:tc>
          <w:tcPr>
            <w:tcW w:w="6400" w:type="dxa"/>
            <w:vAlign w:val="bottom"/>
            <w:gridSpan w:val="22"/>
          </w:tcPr>
          <w:p>
            <w:pPr>
              <w:spacing w:after="0"/>
              <w:rPr>
                <w:sz w:val="21"/>
                <w:szCs w:val="21"/>
                <w:color w:val="auto"/>
              </w:rPr>
            </w:pPr>
          </w:p>
        </w:tc>
        <w:tc>
          <w:tcPr>
            <w:tcW w:w="2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r>
      <w:tr>
        <w:trPr>
          <w:trHeight w:val="250"/>
        </w:trPr>
        <w:tc>
          <w:tcPr>
            <w:tcW w:w="1360" w:type="dxa"/>
            <w:vAlign w:val="bottom"/>
            <w:tcBorders>
              <w:bottom w:val="single" w:sz="8" w:color="0000EE"/>
              <w:right w:val="single" w:sz="8" w:color="CCEEFF"/>
            </w:tcBorders>
            <w:gridSpan w:val="6"/>
            <w:shd w:val="clear" w:color="auto" w:fill="CCEEFF"/>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Board Leadership</w:t>
              </w:r>
            </w:hyperlink>
          </w:p>
        </w:tc>
        <w:tc>
          <w:tcPr>
            <w:tcW w:w="6540" w:type="dxa"/>
            <w:vAlign w:val="bottom"/>
            <w:tcBorders>
              <w:bottom w:val="single" w:sz="8" w:color="CCEEFF"/>
            </w:tcBorders>
            <w:gridSpan w:val="23"/>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r>
      <w:tr>
        <w:trPr>
          <w:trHeight w:val="250"/>
        </w:trPr>
        <w:tc>
          <w:tcPr>
            <w:tcW w:w="7900" w:type="dxa"/>
            <w:vAlign w:val="bottom"/>
            <w:gridSpan w:val="2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Board Committees</w:t>
              </w:r>
            </w:hyperlink>
          </w:p>
        </w:tc>
        <w:tc>
          <w:tcPr>
            <w:tcW w:w="32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60" w:type="dxa"/>
            <w:vAlign w:val="bottom"/>
            <w:tcBorders>
              <w:right w:val="single" w:sz="8" w:color="CCEEFF"/>
            </w:tcBorders>
            <w:gridSpan w:val="6"/>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Board Meetings</w:t>
              </w:r>
            </w:hyperlink>
          </w:p>
        </w:tc>
        <w:tc>
          <w:tcPr>
            <w:tcW w:w="6540" w:type="dxa"/>
            <w:vAlign w:val="bottom"/>
            <w:gridSpan w:val="23"/>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50"/>
        </w:trPr>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Risk Oversight</w:t>
              </w:r>
            </w:hyperlink>
          </w:p>
        </w:tc>
        <w:tc>
          <w:tcPr>
            <w:tcW w:w="60" w:type="dxa"/>
            <w:vAlign w:val="bottom"/>
            <w:tcBorders>
              <w:top w:val="single" w:sz="8" w:color="0000EE"/>
            </w:tcBorders>
          </w:tcPr>
          <w:p>
            <w:pPr>
              <w:spacing w:after="0"/>
              <w:rPr>
                <w:sz w:val="21"/>
                <w:szCs w:val="21"/>
                <w:color w:val="auto"/>
              </w:rPr>
            </w:pPr>
          </w:p>
        </w:tc>
        <w:tc>
          <w:tcPr>
            <w:tcW w:w="6740" w:type="dxa"/>
            <w:vAlign w:val="bottom"/>
            <w:tcBorders>
              <w:top w:val="single" w:sz="8" w:color="CCEEFF"/>
            </w:tcBorders>
            <w:gridSpan w:val="24"/>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250"/>
        </w:trPr>
        <w:tc>
          <w:tcPr>
            <w:tcW w:w="104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Vote Required</w:t>
              </w:r>
            </w:hyperlink>
          </w:p>
        </w:tc>
        <w:tc>
          <w:tcPr>
            <w:tcW w:w="6860" w:type="dxa"/>
            <w:vAlign w:val="bottom"/>
            <w:tcBorders>
              <w:bottom w:val="single" w:sz="8" w:color="CCEEFF"/>
            </w:tcBorders>
            <w:gridSpan w:val="26"/>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250"/>
        </w:trPr>
        <w:tc>
          <w:tcPr>
            <w:tcW w:w="13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Recommendation</w:t>
              </w:r>
            </w:hyperlink>
          </w:p>
        </w:tc>
        <w:tc>
          <w:tcPr>
            <w:tcW w:w="6540" w:type="dxa"/>
            <w:vAlign w:val="bottom"/>
            <w:gridSpan w:val="23"/>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358"/>
        </w:trPr>
        <w:tc>
          <w:tcPr>
            <w:tcW w:w="2500" w:type="dxa"/>
            <w:vAlign w:val="bottom"/>
            <w:gridSpan w:val="14"/>
            <w:shd w:val="clear" w:color="auto" w:fill="CCEEFF"/>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CORPORATE GOVERNANCE</w:t>
              </w:r>
            </w:hyperlink>
          </w:p>
        </w:tc>
        <w:tc>
          <w:tcPr>
            <w:tcW w:w="5400" w:type="dxa"/>
            <w:vAlign w:val="bottom"/>
            <w:gridSpan w:val="15"/>
            <w:shd w:val="clear" w:color="auto" w:fill="CCEEFF"/>
          </w:tcPr>
          <w:p>
            <w:pPr>
              <w:spacing w:after="0"/>
              <w:rPr>
                <w:sz w:val="24"/>
                <w:szCs w:val="24"/>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 Nominations</w:t>
              </w:r>
            </w:hyperlink>
          </w:p>
        </w:tc>
        <w:tc>
          <w:tcPr>
            <w:tcW w:w="5400" w:type="dxa"/>
            <w:vAlign w:val="bottom"/>
            <w:gridSpan w:val="15"/>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900" w:type="dxa"/>
            <w:vAlign w:val="bottom"/>
            <w:gridSpan w:val="29"/>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Majority Vote Requirement</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800" w:type="dxa"/>
            <w:vAlign w:val="bottom"/>
            <w:gridSpan w:val="10"/>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Code of Ethical Conduct</w:t>
              </w:r>
            </w:hyperlink>
          </w:p>
        </w:tc>
        <w:tc>
          <w:tcPr>
            <w:tcW w:w="180" w:type="dxa"/>
            <w:vAlign w:val="bottom"/>
          </w:tcPr>
          <w:p>
            <w:pPr>
              <w:spacing w:after="0"/>
              <w:rPr>
                <w:sz w:val="21"/>
                <w:szCs w:val="21"/>
                <w:color w:val="auto"/>
              </w:rPr>
            </w:pPr>
          </w:p>
        </w:tc>
        <w:tc>
          <w:tcPr>
            <w:tcW w:w="5920" w:type="dxa"/>
            <w:vAlign w:val="bottom"/>
            <w:gridSpan w:val="18"/>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900" w:type="dxa"/>
            <w:vAlign w:val="bottom"/>
            <w:gridSpan w:val="29"/>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Shareholder Communication</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900" w:type="dxa"/>
            <w:vAlign w:val="bottom"/>
            <w:gridSpan w:val="2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Certain Relationships and Related Transactions</w:t>
              </w:r>
            </w:hyperlink>
          </w:p>
        </w:tc>
        <w:tc>
          <w:tcPr>
            <w:tcW w:w="3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5380" w:type="dxa"/>
            <w:vAlign w:val="bottom"/>
            <w:gridSpan w:val="25"/>
            <w:shd w:val="clear" w:color="auto" w:fill="CCEEFF"/>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COMPENSATION OF EXECUTIVE OFFICERS AND DIRECTORS</w:t>
              </w:r>
            </w:hyperlink>
          </w:p>
        </w:tc>
        <w:tc>
          <w:tcPr>
            <w:tcW w:w="2520" w:type="dxa"/>
            <w:vAlign w:val="bottom"/>
            <w:tcBorders>
              <w:left w:val="single" w:sz="8" w:color="CCEEFF"/>
            </w:tcBorders>
            <w:gridSpan w:val="4"/>
            <w:shd w:val="clear" w:color="auto" w:fill="CCEEFF"/>
          </w:tcPr>
          <w:p>
            <w:pPr>
              <w:spacing w:after="0"/>
              <w:rPr>
                <w:sz w:val="24"/>
                <w:szCs w:val="24"/>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380" w:type="dxa"/>
            <w:vAlign w:val="bottom"/>
            <w:gridSpan w:val="2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2520" w:type="dxa"/>
            <w:vAlign w:val="bottom"/>
            <w:gridSpan w:val="4"/>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980" w:type="dxa"/>
            <w:vAlign w:val="bottom"/>
            <w:tcBorders>
              <w:right w:val="single" w:sz="8" w:color="CCEEFF"/>
            </w:tcBorders>
            <w:gridSpan w:val="11"/>
            <w:shd w:val="clear" w:color="auto" w:fill="CCEEFF"/>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Elements of Compensation</w:t>
              </w:r>
            </w:hyperlink>
          </w:p>
        </w:tc>
        <w:tc>
          <w:tcPr>
            <w:tcW w:w="880" w:type="dxa"/>
            <w:vAlign w:val="bottom"/>
            <w:tcBorders>
              <w:right w:val="single" w:sz="8" w:color="CCEEFF"/>
            </w:tcBorders>
            <w:gridSpan w:val="5"/>
            <w:shd w:val="clear" w:color="auto" w:fill="CCEEFF"/>
          </w:tcPr>
          <w:p>
            <w:pPr>
              <w:spacing w:after="0"/>
              <w:rPr>
                <w:sz w:val="21"/>
                <w:szCs w:val="21"/>
                <w:color w:val="auto"/>
              </w:rPr>
            </w:pPr>
          </w:p>
        </w:tc>
        <w:tc>
          <w:tcPr>
            <w:tcW w:w="5040" w:type="dxa"/>
            <w:vAlign w:val="bottom"/>
            <w:gridSpan w:val="13"/>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100" w:type="dxa"/>
            <w:vAlign w:val="bottom"/>
            <w:gridSpan w:val="1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Compensation Risk Analysis</w:t>
              </w:r>
            </w:hyperlink>
          </w:p>
        </w:tc>
        <w:tc>
          <w:tcPr>
            <w:tcW w:w="5800" w:type="dxa"/>
            <w:vAlign w:val="bottom"/>
            <w:gridSpan w:val="17"/>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800" w:type="dxa"/>
            <w:vAlign w:val="bottom"/>
            <w:gridSpan w:val="10"/>
            <w:shd w:val="clear" w:color="auto" w:fill="CCEEFF"/>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Executive Compensation</w:t>
              </w:r>
            </w:hyperlink>
          </w:p>
        </w:tc>
        <w:tc>
          <w:tcPr>
            <w:tcW w:w="300" w:type="dxa"/>
            <w:vAlign w:val="bottom"/>
            <w:tcBorders>
              <w:left w:val="single" w:sz="8" w:color="CCEEFF"/>
              <w:right w:val="single" w:sz="8" w:color="CCEEFF"/>
            </w:tcBorders>
            <w:gridSpan w:val="2"/>
            <w:shd w:val="clear" w:color="auto" w:fill="CCEEFF"/>
          </w:tcPr>
          <w:p>
            <w:pPr>
              <w:spacing w:after="0"/>
              <w:rPr>
                <w:sz w:val="21"/>
                <w:szCs w:val="21"/>
                <w:color w:val="auto"/>
              </w:rPr>
            </w:pPr>
          </w:p>
        </w:tc>
        <w:tc>
          <w:tcPr>
            <w:tcW w:w="5800" w:type="dxa"/>
            <w:vAlign w:val="bottom"/>
            <w:gridSpan w:val="17"/>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380" w:type="dxa"/>
            <w:vAlign w:val="bottom"/>
            <w:gridSpan w:val="2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Agreements with Executive Officers and Post-Employment Compensation</w:t>
              </w:r>
            </w:hyperlink>
          </w:p>
        </w:tc>
        <w:tc>
          <w:tcPr>
            <w:tcW w:w="2520" w:type="dxa"/>
            <w:vAlign w:val="bottom"/>
            <w:gridSpan w:val="4"/>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tcBorders>
              <w:right w:val="single" w:sz="8" w:color="CCEEFF"/>
            </w:tcBorders>
            <w:gridSpan w:val="9"/>
            <w:shd w:val="clear" w:color="auto" w:fill="CCEEFF"/>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Director Compensation</w:t>
              </w:r>
            </w:hyperlink>
          </w:p>
        </w:tc>
        <w:tc>
          <w:tcPr>
            <w:tcW w:w="3660" w:type="dxa"/>
            <w:vAlign w:val="bottom"/>
            <w:tcBorders>
              <w:left w:val="single" w:sz="8" w:color="CCEEFF"/>
            </w:tcBorders>
            <w:gridSpan w:val="16"/>
            <w:shd w:val="clear" w:color="auto" w:fill="CCEEFF"/>
          </w:tcPr>
          <w:p>
            <w:pPr>
              <w:spacing w:after="0"/>
              <w:rPr>
                <w:sz w:val="21"/>
                <w:szCs w:val="21"/>
                <w:color w:val="auto"/>
              </w:rPr>
            </w:pPr>
          </w:p>
        </w:tc>
        <w:tc>
          <w:tcPr>
            <w:tcW w:w="2520" w:type="dxa"/>
            <w:vAlign w:val="bottom"/>
            <w:tcBorders>
              <w:left w:val="single" w:sz="8" w:color="CCEEFF"/>
            </w:tcBorders>
            <w:gridSpan w:val="4"/>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80" w:type="dxa"/>
            <w:vAlign w:val="bottom"/>
            <w:gridSpan w:val="2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Compensation Committee Interlocks and Insider Participation</w:t>
              </w:r>
            </w:hyperlink>
          </w:p>
        </w:tc>
        <w:tc>
          <w:tcPr>
            <w:tcW w:w="3420" w:type="dxa"/>
            <w:vAlign w:val="bottom"/>
            <w:gridSpan w:val="6"/>
          </w:tcPr>
          <w:p>
            <w:pPr>
              <w:spacing w:after="0"/>
              <w:rPr>
                <w:sz w:val="21"/>
                <w:szCs w:val="21"/>
                <w:color w:val="auto"/>
              </w:rPr>
            </w:pPr>
          </w:p>
        </w:tc>
        <w:tc>
          <w:tcPr>
            <w:tcW w:w="32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80" w:type="dxa"/>
            <w:vAlign w:val="bottom"/>
            <w:gridSpan w:val="23"/>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Compensation Committee Report</w:t>
              </w:r>
            </w:hyperlink>
          </w:p>
        </w:tc>
        <w:tc>
          <w:tcPr>
            <w:tcW w:w="3420" w:type="dxa"/>
            <w:vAlign w:val="bottom"/>
            <w:gridSpan w:val="6"/>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7900" w:type="dxa"/>
            <w:vAlign w:val="bottom"/>
            <w:gridSpan w:val="2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PRINCIPAL AND MANAGEMENT SHAREHOLDERS</w:t>
              </w:r>
            </w:hyperlink>
          </w:p>
        </w:tc>
        <w:tc>
          <w:tcPr>
            <w:tcW w:w="3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-7099935</wp:posOffset>
            </wp:positionV>
            <wp:extent cx="5008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0"/>
        </w:trPr>
        <w:tc>
          <w:tcPr>
            <w:tcW w:w="7900" w:type="dxa"/>
            <w:vAlign w:val="bottom"/>
            <w:gridSpan w:val="24"/>
            <w:shd w:val="clear" w:color="auto" w:fill="CCEEFF"/>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SECTION 16(a) BENEFICIAL OWNERSHIP REPORTING COMPLIANCE</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324"/>
        </w:trPr>
        <w:tc>
          <w:tcPr>
            <w:tcW w:w="6000" w:type="dxa"/>
            <w:vAlign w:val="bottom"/>
            <w:gridSpan w:val="20"/>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AUDIT COMMITTEE REPORT</w:t>
              </w:r>
            </w:hyperlink>
          </w:p>
        </w:tc>
        <w:tc>
          <w:tcPr>
            <w:tcW w:w="1900" w:type="dxa"/>
            <w:vAlign w:val="bottom"/>
            <w:gridSpan w:val="4"/>
          </w:tcPr>
          <w:p>
            <w:pPr>
              <w:spacing w:after="0"/>
              <w:rPr>
                <w:sz w:val="24"/>
                <w:szCs w:val="24"/>
                <w:color w:val="auto"/>
              </w:rPr>
            </w:pPr>
          </w:p>
        </w:tc>
        <w:tc>
          <w:tcPr>
            <w:tcW w:w="3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311"/>
        </w:trPr>
        <w:tc>
          <w:tcPr>
            <w:tcW w:w="7280" w:type="dxa"/>
            <w:vAlign w:val="bottom"/>
            <w:tcBorders>
              <w:bottom w:val="single" w:sz="8" w:color="0000EE"/>
            </w:tcBorders>
            <w:gridSpan w:val="23"/>
            <w:shd w:val="clear" w:color="auto" w:fill="CCEEFF"/>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PROPOSAL 2 — RE-APPROVAL OF THE MATERIAL TERMS OF THE PERFORMANCE</w:t>
              </w:r>
            </w:hyperlink>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GOALS UNDER THE MANAGEMENT INCENTIVE PLAN PURSUANT TO SECTION</w:t>
              </w:r>
            </w:hyperlink>
          </w:p>
        </w:tc>
        <w:tc>
          <w:tcPr>
            <w:tcW w:w="7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780" w:type="dxa"/>
            <w:vAlign w:val="bottom"/>
            <w:gridSpan w:val="16"/>
            <w:shd w:val="clear" w:color="auto" w:fill="CCEEFF"/>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162(M) OF THE INTERNAL REVENUE CODE</w:t>
              </w:r>
            </w:hyperlink>
          </w:p>
        </w:tc>
        <w:tc>
          <w:tcPr>
            <w:tcW w:w="3940" w:type="dxa"/>
            <w:vAlign w:val="bottom"/>
            <w:gridSpan w:val="7"/>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Overview</w:t>
              </w:r>
            </w:hyperlink>
          </w:p>
        </w:tc>
        <w:tc>
          <w:tcPr>
            <w:tcW w:w="3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7900" w:type="dxa"/>
            <w:vAlign w:val="bottom"/>
            <w:gridSpan w:val="24"/>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Background</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Awards Under the Management Incentive Plan</w:t>
              </w:r>
            </w:hyperlink>
          </w:p>
        </w:tc>
        <w:tc>
          <w:tcPr>
            <w:tcW w:w="3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2520" w:type="dxa"/>
            <w:vAlign w:val="bottom"/>
            <w:gridSpan w:val="10"/>
            <w:shd w:val="clear" w:color="auto" w:fill="CCEEFF"/>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Federal Income Tax Consequences</w:t>
              </w:r>
            </w:hyperlink>
          </w:p>
        </w:tc>
        <w:tc>
          <w:tcPr>
            <w:tcW w:w="5380" w:type="dxa"/>
            <w:vAlign w:val="bottom"/>
            <w:gridSpan w:val="14"/>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52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Vote Required</w:t>
              </w:r>
            </w:hyperlink>
          </w:p>
        </w:tc>
        <w:tc>
          <w:tcPr>
            <w:tcW w:w="5380" w:type="dxa"/>
            <w:vAlign w:val="bottom"/>
            <w:gridSpan w:val="14"/>
          </w:tcPr>
          <w:p>
            <w:pPr>
              <w:spacing w:after="0"/>
              <w:rPr>
                <w:sz w:val="19"/>
                <w:szCs w:val="19"/>
                <w:color w:val="auto"/>
              </w:rPr>
            </w:pPr>
          </w:p>
        </w:tc>
        <w:tc>
          <w:tcPr>
            <w:tcW w:w="32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1280" w:type="dxa"/>
            <w:vAlign w:val="bottom"/>
            <w:gridSpan w:val="6"/>
            <w:shd w:val="clear" w:color="auto" w:fill="CCEEFF"/>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Recommendation</w:t>
              </w:r>
            </w:hyperlink>
          </w:p>
        </w:tc>
        <w:tc>
          <w:tcPr>
            <w:tcW w:w="6620" w:type="dxa"/>
            <w:vAlign w:val="bottom"/>
            <w:gridSpan w:val="18"/>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324"/>
        </w:trPr>
        <w:tc>
          <w:tcPr>
            <w:tcW w:w="6560" w:type="dxa"/>
            <w:vAlign w:val="bottom"/>
            <w:tcBorders>
              <w:bottom w:val="single" w:sz="8" w:color="0000EE"/>
            </w:tcBorders>
            <w:gridSpan w:val="21"/>
          </w:tcPr>
          <w:p>
            <w:pPr>
              <w:spacing w:after="0"/>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PROPOSAL 3 — APPROVAL OF ADVISORY RESOLUTION SUPPORTING THE</w:t>
              </w:r>
            </w:hyperlink>
          </w:p>
        </w:tc>
        <w:tc>
          <w:tcPr>
            <w:tcW w:w="13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720" w:type="dxa"/>
            <w:vAlign w:val="bottom"/>
            <w:gridSpan w:val="2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COMPENSATION PLAN FOR EXECUTIVE OFFICERS</w:t>
              </w:r>
            </w:hyperlink>
          </w:p>
        </w:tc>
        <w:tc>
          <w:tcPr>
            <w:tcW w:w="32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34"/>
        </w:trPr>
        <w:tc>
          <w:tcPr>
            <w:tcW w:w="180" w:type="dxa"/>
            <w:vAlign w:val="bottom"/>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r>
      <w:tr>
        <w:trPr>
          <w:trHeight w:val="230"/>
        </w:trPr>
        <w:tc>
          <w:tcPr>
            <w:tcW w:w="580" w:type="dxa"/>
            <w:vAlign w:val="bottom"/>
            <w:gridSpan w:val="2"/>
            <w:shd w:val="clear" w:color="auto" w:fill="CCEEFF"/>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General</w:t>
              </w:r>
            </w:hyperlink>
          </w:p>
        </w:tc>
        <w:tc>
          <w:tcPr>
            <w:tcW w:w="7320" w:type="dxa"/>
            <w:vAlign w:val="bottom"/>
            <w:gridSpan w:val="22"/>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Program and Philosophy</w:t>
              </w:r>
            </w:hyperlink>
          </w:p>
        </w:tc>
        <w:tc>
          <w:tcPr>
            <w:tcW w:w="3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1040" w:type="dxa"/>
            <w:vAlign w:val="bottom"/>
            <w:gridSpan w:val="5"/>
            <w:shd w:val="clear" w:color="auto" w:fill="CCEEFF"/>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Vote Required</w:t>
              </w:r>
            </w:hyperlink>
          </w:p>
        </w:tc>
        <w:tc>
          <w:tcPr>
            <w:tcW w:w="6860" w:type="dxa"/>
            <w:vAlign w:val="bottom"/>
            <w:gridSpan w:val="19"/>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Recommendation</w:t>
              </w:r>
            </w:hyperlink>
          </w:p>
        </w:tc>
        <w:tc>
          <w:tcPr>
            <w:tcW w:w="3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324"/>
        </w:trPr>
        <w:tc>
          <w:tcPr>
            <w:tcW w:w="7900" w:type="dxa"/>
            <w:vAlign w:val="bottom"/>
            <w:gridSpan w:val="24"/>
            <w:shd w:val="clear" w:color="auto" w:fill="CCEEFF"/>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PROPOSAL 4 — RATIFICATION OF APPOINTMENT OF INDEPENDENT REGISTERED</w:t>
              </w:r>
            </w:hyperlink>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20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PUBLIC ACCOUNTANT</w:t>
              </w:r>
            </w:hyperlink>
          </w:p>
        </w:tc>
        <w:tc>
          <w:tcPr>
            <w:tcW w:w="5080" w:type="dxa"/>
            <w:vAlign w:val="bottom"/>
            <w:tcBorders>
              <w:top w:val="single" w:sz="8" w:color="0000EE"/>
            </w:tcBorders>
            <w:gridSpan w:val="14"/>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General</w:t>
              </w:r>
            </w:hyperlink>
          </w:p>
        </w:tc>
        <w:tc>
          <w:tcPr>
            <w:tcW w:w="3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1040" w:type="dxa"/>
            <w:vAlign w:val="bottom"/>
            <w:gridSpan w:val="5"/>
            <w:shd w:val="clear" w:color="auto" w:fill="CCEEFF"/>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Vote Required</w:t>
              </w:r>
            </w:hyperlink>
          </w:p>
        </w:tc>
        <w:tc>
          <w:tcPr>
            <w:tcW w:w="6860" w:type="dxa"/>
            <w:vAlign w:val="bottom"/>
            <w:gridSpan w:val="19"/>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Recommendation</w:t>
              </w:r>
            </w:hyperlink>
          </w:p>
        </w:tc>
        <w:tc>
          <w:tcPr>
            <w:tcW w:w="3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338"/>
        </w:trPr>
        <w:tc>
          <w:tcPr>
            <w:tcW w:w="7900" w:type="dxa"/>
            <w:vAlign w:val="bottom"/>
            <w:gridSpan w:val="24"/>
            <w:shd w:val="clear" w:color="auto" w:fill="CCEEFF"/>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MATTERS</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Independent Registered Public Accountants</w:t>
              </w:r>
            </w:hyperlink>
          </w:p>
        </w:tc>
        <w:tc>
          <w:tcPr>
            <w:tcW w:w="3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1760" w:type="dxa"/>
            <w:vAlign w:val="bottom"/>
            <w:gridSpan w:val="8"/>
            <w:shd w:val="clear" w:color="auto" w:fill="CCEEFF"/>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Expenses of Solicitation</w:t>
              </w:r>
            </w:hyperlink>
          </w:p>
        </w:tc>
        <w:tc>
          <w:tcPr>
            <w:tcW w:w="6140" w:type="dxa"/>
            <w:vAlign w:val="bottom"/>
            <w:gridSpan w:val="16"/>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0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Shareholder Proposals &amp; Recommendations for Director Nominees</w:t>
              </w:r>
            </w:hyperlink>
          </w:p>
        </w:tc>
        <w:tc>
          <w:tcPr>
            <w:tcW w:w="3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2840" w:type="dxa"/>
            <w:vAlign w:val="bottom"/>
            <w:gridSpan w:val="12"/>
            <w:shd w:val="clear" w:color="auto" w:fill="CCEEFF"/>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Information Incorporated by Reference</w:t>
              </w:r>
            </w:hyperlink>
          </w:p>
        </w:tc>
        <w:tc>
          <w:tcPr>
            <w:tcW w:w="5060" w:type="dxa"/>
            <w:vAlign w:val="bottom"/>
            <w:gridSpan w:val="12"/>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84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General</w:t>
              </w:r>
            </w:hyperlink>
          </w:p>
        </w:tc>
        <w:tc>
          <w:tcPr>
            <w:tcW w:w="5060" w:type="dxa"/>
            <w:vAlign w:val="bottom"/>
            <w:gridSpan w:val="12"/>
          </w:tcPr>
          <w:p>
            <w:pPr>
              <w:spacing w:after="0"/>
              <w:rPr>
                <w:sz w:val="19"/>
                <w:szCs w:val="19"/>
                <w:color w:val="auto"/>
              </w:rPr>
            </w:pPr>
          </w:p>
        </w:tc>
        <w:tc>
          <w:tcPr>
            <w:tcW w:w="32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338"/>
        </w:trPr>
        <w:tc>
          <w:tcPr>
            <w:tcW w:w="7900" w:type="dxa"/>
            <w:vAlign w:val="bottom"/>
            <w:gridSpan w:val="24"/>
            <w:shd w:val="clear" w:color="auto" w:fill="CCEEFF"/>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 xml:space="preserve">Appendix A </w:t>
              </w:r>
              <w:r>
                <w:rPr>
                  <w:rFonts w:ascii="Arial" w:cs="Arial" w:eastAsia="Arial" w:hAnsi="Arial"/>
                  <w:sz w:val="18"/>
                  <w:szCs w:val="18"/>
                  <w:color w:val="0000EE"/>
                </w:rPr>
                <w:t>— Management Incentive Plan</w:t>
              </w:r>
            </w:hyperlink>
          </w:p>
        </w:tc>
        <w:tc>
          <w:tcPr>
            <w:tcW w:w="320" w:type="dxa"/>
            <w:vAlign w:val="bottom"/>
            <w:gridSpan w:val="3"/>
            <w:shd w:val="clear" w:color="auto" w:fill="CCEEFF"/>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A-1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-5230495</wp:posOffset>
            </wp:positionV>
            <wp:extent cx="5008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83185</wp:posOffset>
            </wp:positionV>
            <wp:extent cx="2358390" cy="720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83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125 HIGHWAY 515 EAST</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235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137795</wp:posOffset>
            </wp:positionV>
            <wp:extent cx="1235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2015 Annual Meeting of Shareholders to be held on Wednesday, May 13, 2015 at 2:00 p.m. at The Ridges Resort, 3499 Highway 76 West, Young Harris, Georgia, and at any adjournments or postponements of the Annual Meeting.</w:t>
      </w:r>
    </w:p>
    <w:p>
      <w:pPr>
        <w:spacing w:after="0" w:line="16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w:t>
      </w:r>
    </w:p>
    <w:p>
      <w:pPr>
        <w:spacing w:after="0" w:line="49" w:lineRule="exact"/>
        <w:rPr>
          <w:sz w:val="20"/>
          <w:szCs w:val="20"/>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nine directors to constitute the Board of Directors to serve until the next annual meeting and until their successors are elected and qualified;</w:t>
      </w:r>
    </w:p>
    <w:p>
      <w:pPr>
        <w:spacing w:after="0" w:line="4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Re-approval of the material terms of the performance goals under the Management Incentive Plan pursuant to Section 162(m) of the Internal Revenue Code.</w:t>
      </w:r>
    </w:p>
    <w:p>
      <w:pPr>
        <w:spacing w:after="0" w:line="3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advisory “say on pay” resolution supporting the compensation plan for executive officers; and</w:t>
      </w:r>
    </w:p>
    <w:p>
      <w:pPr>
        <w:spacing w:after="0" w:line="4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independent registered public accountant for 2015.</w:t>
      </w:r>
    </w:p>
    <w:p>
      <w:pPr>
        <w:spacing w:after="0" w:line="153" w:lineRule="exact"/>
        <w:rPr>
          <w:sz w:val="20"/>
          <w:szCs w:val="20"/>
          <w:color w:val="auto"/>
        </w:rPr>
      </w:pPr>
    </w:p>
    <w:p>
      <w:pPr>
        <w:jc w:val="both"/>
        <w:ind w:left="1260" w:right="759"/>
        <w:spacing w:after="0" w:line="25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the proxy materials instead of a paper copy of the proxy materials?</w:t>
      </w:r>
    </w:p>
    <w:p>
      <w:pPr>
        <w:spacing w:after="0" w:line="71"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accordance with rules adopted by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we may furnish our proxy materials, which include this proxy statement, our 2014 Annual Report to Shareholders and our Annual Report on Form 10-K for the year ended December 31, 2014, to our shareholders by providing access to such documents on the Internet instead of mailing printed copies. These materials or notice of online materials availability was first sent or given to shareholders on April 3, 2015.</w:t>
      </w:r>
    </w:p>
    <w:p>
      <w:pPr>
        <w:spacing w:after="0" w:line="6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 xml:space="preserve">All shareholders will have the ability to access the proxy materials via the Internet by going to </w:t>
      </w:r>
      <w:r>
        <w:rPr>
          <w:rFonts w:ascii="Arial" w:cs="Arial" w:eastAsia="Arial" w:hAnsi="Arial"/>
          <w:sz w:val="17"/>
          <w:szCs w:val="17"/>
          <w:u w:val="single" w:color="auto"/>
          <w:color w:val="auto"/>
        </w:rPr>
        <w:t>www.cstproxy.com/ucbi/2015</w:t>
      </w:r>
      <w:r>
        <w:rPr>
          <w:rFonts w:ascii="Arial" w:cs="Arial" w:eastAsia="Arial" w:hAnsi="Arial"/>
          <w:sz w:val="17"/>
          <w:szCs w:val="17"/>
          <w:color w:val="auto"/>
        </w:rPr>
        <w:t xml:space="preserve"> or request to receive a printed set of such proxy materials. Instructions on how to access the proxy materials over the Internet or to request a printed copy may be found on the Notice.</w:t>
      </w:r>
    </w:p>
    <w:p>
      <w:pPr>
        <w:spacing w:after="0" w:line="5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If you are a registered shareholder and have not voted your proxy by April 17, 2015, you may automatically receive a proxy voting card by mail. At that time, you may also vote by mail by completing the proxy card and following the instructions provided in this proxy statement.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entitled to vote?</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All shareholders of record of United’s Common Stock at the close of business on March 14, 2015,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cast my vote?</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u w:val="single" w:color="auto"/>
          <w:color w:val="auto"/>
        </w:rPr>
        <w:t>www.cstproxyvote.com</w:t>
      </w:r>
      <w:r>
        <w:rPr>
          <w:rFonts w:ascii="Arial" w:cs="Arial" w:eastAsia="Arial" w:hAnsi="Arial"/>
          <w:sz w:val="18"/>
          <w:szCs w:val="18"/>
          <w:color w:val="auto"/>
        </w:rPr>
        <w:t>. Alternatively, you may vote your shares by telephone if you reside in the United States, Canada or the U.S. territories, or by marking, signing, dating and returning the proxy card in the postage-paid envelope if such proxy card has been provided to you, or you may vote in person at the Annual Meeting. If your shares of Common Stock are held in “street name,” meaning that your shares are held for your account by a broker, bank or other nominee, you will receive instructions from your nominee which you must follow in order to have your shares voted.</w:t>
      </w:r>
    </w:p>
    <w:p>
      <w:pPr>
        <w:spacing w:after="0" w:line="8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50,219,137 shares of Common Stock outstanding and entitled to vote at the Annual Meeting.</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171" w:lineRule="exact"/>
        <w:rPr>
          <w:sz w:val="20"/>
          <w:szCs w:val="20"/>
          <w:color w:val="auto"/>
        </w:rPr>
      </w:pPr>
    </w:p>
    <w:p>
      <w:pPr>
        <w:jc w:val="both"/>
        <w:ind w:left="1980" w:right="759" w:hanging="352"/>
        <w:spacing w:after="0" w:line="302" w:lineRule="auto"/>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86" w:lineRule="exact"/>
        <w:rPr>
          <w:rFonts w:ascii="Arial" w:cs="Arial" w:eastAsia="Arial" w:hAnsi="Arial"/>
          <w:sz w:val="16"/>
          <w:szCs w:val="16"/>
          <w:color w:val="auto"/>
        </w:rPr>
      </w:pPr>
    </w:p>
    <w:p>
      <w:pPr>
        <w:jc w:val="both"/>
        <w:ind w:left="1980" w:right="759" w:hanging="352"/>
        <w:spacing w:after="0" w:line="264"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re-approval of the material terms of the performance goals under the Management Incentive Plan pursuant to Section 162(m) of the Internal Revenue Code, the vote of a majority of the Shares voted on the matter;</w:t>
      </w:r>
    </w:p>
    <w:p>
      <w:pPr>
        <w:spacing w:after="0" w:line="11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advisory “say on pay” resolution supporting the compensation plan for the executive officers, the vote of a majority of the shares voted on the matter;</w:t>
      </w:r>
    </w:p>
    <w:p>
      <w:pPr>
        <w:spacing w:after="0" w:line="102"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ratification of the appointment of PricewaterhouseCoopers LLP as independent registered public accountant for 2015, the vote of a majority of the shares voted on the matter; and</w:t>
      </w:r>
    </w:p>
    <w:p>
      <w:pPr>
        <w:spacing w:after="0" w:line="79" w:lineRule="exact"/>
        <w:rPr>
          <w:rFonts w:ascii="Arial" w:cs="Arial" w:eastAsia="Arial" w:hAnsi="Arial"/>
          <w:sz w:val="17"/>
          <w:szCs w:val="17"/>
          <w:color w:val="auto"/>
        </w:rPr>
      </w:pPr>
    </w:p>
    <w:p>
      <w:pPr>
        <w:jc w:val="both"/>
        <w:ind w:left="1980" w:right="759" w:hanging="352"/>
        <w:spacing w:after="0" w:line="264"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are votes counted?</w:t>
      </w:r>
    </w:p>
    <w:p>
      <w:pPr>
        <w:spacing w:after="0" w:line="108"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Proposal 1 is the election of directors. 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all other proposals, you may vote “for” or “against” the proposal.</w:t>
      </w:r>
    </w:p>
    <w:p>
      <w:pPr>
        <w:spacing w:after="0" w:line="5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revoke my proxy instructions?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you are a record holder, you may revoke your proxy by:</w:t>
      </w:r>
    </w:p>
    <w:p>
      <w:pPr>
        <w:spacing w:after="0" w:line="198" w:lineRule="exact"/>
        <w:rPr>
          <w:sz w:val="20"/>
          <w:szCs w:val="20"/>
          <w:color w:val="auto"/>
        </w:rPr>
      </w:pPr>
    </w:p>
    <w:p>
      <w:pPr>
        <w:ind w:left="1980" w:right="75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United’s 2014 Annual Report to Shareholders and its Annual Report on Form 10-K filed with the SEC, including financial statements for the year ended December 31, 2014, are enclosed with this Proxy Statement. The 2014 Annual Report to Shareholders is not part of the proxy solicitation material. An additional copy of United’s Annual Report on Form 10-K may be obtained without charge by:</w:t>
      </w:r>
    </w:p>
    <w:p>
      <w:pPr>
        <w:spacing w:after="0" w:line="146" w:lineRule="exact"/>
        <w:rPr>
          <w:sz w:val="20"/>
          <w:szCs w:val="20"/>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accessing United’s website at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writing to the Secretary of United at the following address: P.O. Box 398, Blairsville, Georgia 30514-0398; or</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You may also obtain copies of United’s Annual Report on Form 10-K from the SEC at prescribed rates by writing to the Public Reference Section of the SEC, Room 1580, F. Street, N.E., Washington, D.C. 20549. Please call the SEC at (800) SEC-0330 for further information.</w:t>
      </w:r>
    </w:p>
    <w:p>
      <w:pPr>
        <w:spacing w:after="0" w:line="16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THE SHAREHOLDER MEETING TO BE HELD ON MAY 13, 2015</w:t>
      </w:r>
    </w:p>
    <w:p>
      <w:pPr>
        <w:spacing w:after="0" w:line="8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 xml:space="preserve">We have posted materials related to the 2015 Annual Meeting on the Internet. The following materials are available on the Internet at </w:t>
      </w:r>
      <w:r>
        <w:rPr>
          <w:rFonts w:ascii="Arial" w:cs="Arial" w:eastAsia="Arial" w:hAnsi="Arial"/>
          <w:sz w:val="18"/>
          <w:szCs w:val="18"/>
          <w:u w:val="single" w:color="auto"/>
          <w:color w:val="auto"/>
        </w:rPr>
        <w:t>www.cstproxy.com/ucbi/2015</w:t>
      </w:r>
      <w:r>
        <w:rPr>
          <w:rFonts w:ascii="Arial" w:cs="Arial" w:eastAsia="Arial" w:hAnsi="Arial"/>
          <w:sz w:val="18"/>
          <w:szCs w:val="18"/>
          <w:color w:val="auto"/>
        </w:rPr>
        <w:t>:</w:t>
      </w:r>
    </w:p>
    <w:p>
      <w:pPr>
        <w:spacing w:after="0" w:line="130" w:lineRule="exact"/>
        <w:rPr>
          <w:sz w:val="20"/>
          <w:szCs w:val="20"/>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Proxy Statement for the 2015 Annual Meeting;</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United’s 2014 Annual Report to Shareholders;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United’s Annual Report on Form 10-K for the year ended December 31, 2014 filed with the SEC.</w:t>
      </w:r>
    </w:p>
    <w:p>
      <w:pPr>
        <w:spacing w:after="0" w:line="2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You are also invited to attend the 2015 Annual Meeting in person. To pre-register to attend the Annual Meeting you may:</w:t>
      </w:r>
    </w:p>
    <w:p>
      <w:pPr>
        <w:spacing w:after="0" w:line="143" w:lineRule="exact"/>
        <w:rPr>
          <w:sz w:val="20"/>
          <w:szCs w:val="20"/>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follow the instructions at </w:t>
      </w:r>
      <w:r>
        <w:rPr>
          <w:rFonts w:ascii="Arial" w:cs="Arial" w:eastAsia="Arial" w:hAnsi="Arial"/>
          <w:sz w:val="18"/>
          <w:szCs w:val="18"/>
          <w:u w:val="single" w:color="auto"/>
          <w:color w:val="auto"/>
        </w:rPr>
        <w:t>www.cstproxy.com/ucbi/2015</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call (866) 270-5900 and speak with an Investor Relations professional.</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 xml:space="preserve">For directions to the Annual Meeting, visit </w:t>
      </w:r>
      <w:r>
        <w:rPr>
          <w:rFonts w:ascii="Arial" w:cs="Arial" w:eastAsia="Arial" w:hAnsi="Arial"/>
          <w:sz w:val="18"/>
          <w:szCs w:val="18"/>
          <w:u w:val="single" w:color="auto"/>
          <w:color w:val="auto"/>
        </w:rPr>
        <w:t>www.theridgesresort.com</w:t>
      </w:r>
      <w:r>
        <w:rPr>
          <w:rFonts w:ascii="Arial" w:cs="Arial" w:eastAsia="Arial" w:hAnsi="Arial"/>
          <w:sz w:val="18"/>
          <w:szCs w:val="18"/>
          <w:color w:val="auto"/>
        </w:rPr>
        <w:t>, or call (866) 270-5900 and an Investor Relations professional can assist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PROPOSAL 1 — ELECTION OF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Bylaws of United provide that the number of directors on United’s Board of Directors may range from eight to fourteen. The Board of Directors of United has set the number of directors at nine.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9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Set forth below is information on each director and nominee, along with a summary of their experience, qualifications, attributes, and skills that qualify them for service on the Board. The following information has been furnished by the respective nominees for director as of March 15, 2015. All of the nominees for director are existing directors that have been nominated by the Board of Directors for reelection.</w:t>
      </w:r>
    </w:p>
    <w:p>
      <w:pPr>
        <w:sectPr>
          <w:pgSz w:w="11900" w:h="16838" w:orient="portrait"/>
          <w:cols w:equalWidth="0" w:num="1">
            <w:col w:w="10219"/>
          </w:cols>
          <w:pgMar w:left="240" w:top="131" w:right="1440" w:bottom="1440" w:gutter="0" w:footer="0" w:header="0"/>
        </w:sectPr>
      </w:pPr>
    </w:p>
    <w:p>
      <w:pPr>
        <w:spacing w:after="0" w:line="7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Jimmy C. Tallent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Age 62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Director since 1988</w:t>
      </w:r>
    </w:p>
    <w:p>
      <w:pPr>
        <w:spacing w:after="0" w:line="12" w:lineRule="exact"/>
        <w:rPr>
          <w:sz w:val="20"/>
          <w:szCs w:val="20"/>
          <w:color w:val="auto"/>
        </w:rPr>
      </w:pPr>
    </w:p>
    <w:p>
      <w:pPr>
        <w:jc w:val="right"/>
        <w:ind w:right="739"/>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22" w:lineRule="exact"/>
        <w:rPr>
          <w:sz w:val="20"/>
          <w:szCs w:val="20"/>
          <w:color w:val="auto"/>
        </w:rPr>
      </w:pPr>
    </w:p>
    <w:p>
      <w:pPr>
        <w:sectPr>
          <w:pgSz w:w="11900" w:h="16838" w:orient="portrait"/>
          <w:cols w:equalWidth="0" w:num="2">
            <w:col w:w="5980" w:space="720"/>
            <w:col w:w="3519"/>
          </w:cols>
          <w:pgMar w:left="240" w:top="131" w:right="1440" w:bottom="1440" w:gutter="0" w:footer="0" w:header="0"/>
          <w:type w:val="continuous"/>
        </w:sectPr>
      </w:pPr>
    </w:p>
    <w:p>
      <w:pPr>
        <w:spacing w:after="0" w:line="9"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Mr. Tallent currently serves as Chairman and Chief Executive Officer of United. Mr. Tallent has served as Chief Executive Officer of United from the time it was formed in 1988 and has served as Chairman of the Board since February 2015. He has also served as Chief Executive Officer of United’s wholly-owned subsidiary, United Community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since 1984. Under Mr. Tallent’s leadership, United has grown from a small, one-branch banking operation in the rural community of Blairsville, Georgia to the third largest bank holding company headquartered in Georgia, with $7.57 billion in assets and 103 banking offices covering four states in the Southeast. Mr. Tallent is a member of the board of directors of Georgia Power, the largest subsidiary of Southern Company, and serves as a Trustee of Young Harris College.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75"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ten consecutive years, Georgia Trend magazine has recognized Mr. Tallent as one of the “100 Most Influential Georgians.” In 2007, Mr. Tallent was honored with the Ernst &amp; Young Entrepreneur of the Year Award for Financial Services in the Alabama/ Georgia/Tennessee region. Mr. Tallent attended Young Harris College and Piedmont College and is a graduate of the Georgia Banking School.</w:t>
      </w:r>
    </w:p>
    <w:p>
      <w:pPr>
        <w:spacing w:after="0" w:line="8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As Chairman and Chief Executive Officer, Mr. Tallent is one of two officers serving on our Board. With more than 40 years of experience, Mr. Tallent has a deep knowledge and understanding of United, its “community banks” and its lines of business. Mr. Tallent has demonstrated leadership abilities and has the integrity, values and good judgment that make him well suited to serve on the Board of Directors.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60" w:type="dxa"/>
            <w:vAlign w:val="bottom"/>
          </w:tcPr>
          <w:p>
            <w:pPr>
              <w:spacing w:after="0"/>
              <w:rPr>
                <w:sz w:val="20"/>
                <w:szCs w:val="20"/>
                <w:color w:val="auto"/>
              </w:rPr>
            </w:pPr>
            <w:r>
              <w:rPr>
                <w:rFonts w:ascii="Arial" w:cs="Arial" w:eastAsia="Arial" w:hAnsi="Arial"/>
                <w:sz w:val="18"/>
                <w:szCs w:val="18"/>
                <w:i w:val="1"/>
                <w:iCs w:val="1"/>
                <w:color w:val="auto"/>
              </w:rPr>
              <w:t>Robert H. Blalock</w:t>
            </w:r>
          </w:p>
        </w:tc>
        <w:tc>
          <w:tcPr>
            <w:tcW w:w="5160" w:type="dxa"/>
            <w:vAlign w:val="bottom"/>
          </w:tcPr>
          <w:p>
            <w:pPr>
              <w:jc w:val="right"/>
              <w:spacing w:after="0"/>
              <w:rPr>
                <w:sz w:val="20"/>
                <w:szCs w:val="20"/>
                <w:color w:val="auto"/>
              </w:rPr>
            </w:pPr>
            <w:r>
              <w:rPr>
                <w:rFonts w:ascii="Arial" w:cs="Arial" w:eastAsia="Arial" w:hAnsi="Arial"/>
                <w:sz w:val="18"/>
                <w:szCs w:val="18"/>
                <w:i w:val="1"/>
                <w:iCs w:val="1"/>
                <w:color w:val="auto"/>
              </w:rPr>
              <w:t>Director since 2000</w:t>
            </w:r>
          </w:p>
        </w:tc>
      </w:tr>
      <w:tr>
        <w:trPr>
          <w:trHeight w:val="216"/>
        </w:trPr>
        <w:tc>
          <w:tcPr>
            <w:tcW w:w="3060" w:type="dxa"/>
            <w:vAlign w:val="bottom"/>
          </w:tcPr>
          <w:p>
            <w:pPr>
              <w:spacing w:after="0"/>
              <w:rPr>
                <w:sz w:val="20"/>
                <w:szCs w:val="20"/>
                <w:color w:val="auto"/>
              </w:rPr>
            </w:pPr>
            <w:r>
              <w:rPr>
                <w:rFonts w:ascii="Arial" w:cs="Arial" w:eastAsia="Arial" w:hAnsi="Arial"/>
                <w:sz w:val="18"/>
                <w:szCs w:val="18"/>
                <w:i w:val="1"/>
                <w:iCs w:val="1"/>
                <w:color w:val="auto"/>
              </w:rPr>
              <w:t>Age 67</w:t>
            </w:r>
          </w:p>
        </w:tc>
        <w:tc>
          <w:tcPr>
            <w:tcW w:w="516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306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Arial" w:cs="Arial" w:eastAsia="Arial" w:hAnsi="Arial"/>
                <w:sz w:val="18"/>
                <w:szCs w:val="18"/>
                <w:i w:val="1"/>
                <w:iCs w:val="1"/>
                <w:color w:val="auto"/>
              </w:rPr>
              <w:t>Risk Committee</w:t>
            </w:r>
          </w:p>
        </w:tc>
      </w:tr>
      <w:tr>
        <w:trPr>
          <w:trHeight w:val="216"/>
        </w:trPr>
        <w:tc>
          <w:tcPr>
            <w:tcW w:w="306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3060" w:type="dxa"/>
            <w:vAlign w:val="bottom"/>
          </w:tcPr>
          <w:p>
            <w:pPr>
              <w:spacing w:after="0"/>
              <w:rPr>
                <w:sz w:val="20"/>
                <w:szCs w:val="20"/>
                <w:color w:val="auto"/>
              </w:rPr>
            </w:pPr>
          </w:p>
        </w:tc>
        <w:tc>
          <w:tcPr>
            <w:tcW w:w="516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18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73"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a large portion of United’s service area. As a past director of First Clayton Bank and Trust, Mr. Blalock brings not only a rich history of banking leadership, but a perspective of the bank acquisition process. The Board believes that Mr. Blalock’s 40 years of business experience and 24 years of bank board experience make him well suited to serve on the Board of Directors.</w:t>
      </w:r>
    </w:p>
    <w:p>
      <w:pPr>
        <w:sectPr>
          <w:pgSz w:w="11900" w:h="16838" w:orient="portrait"/>
          <w:cols w:equalWidth="0" w:num="1">
            <w:col w:w="10219"/>
          </w:cols>
          <w:pgMar w:left="240" w:top="131" w:right="1440" w:bottom="1440" w:gutter="0" w:footer="0" w:header="0"/>
        </w:sectPr>
      </w:pPr>
    </w:p>
    <w:p>
      <w:pPr>
        <w:spacing w:after="0" w:line="9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Clifford V. Brokaw</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Age 47</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Director since 2012</w:t>
      </w:r>
    </w:p>
    <w:p>
      <w:pPr>
        <w:spacing w:after="0" w:line="12" w:lineRule="exact"/>
        <w:rPr>
          <w:sz w:val="20"/>
          <w:szCs w:val="20"/>
          <w:color w:val="auto"/>
        </w:rPr>
      </w:pPr>
    </w:p>
    <w:p>
      <w:pPr>
        <w:jc w:val="right"/>
        <w:ind w:right="739"/>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0"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5360" w:space="720"/>
            <w:col w:w="4139"/>
          </w:cols>
          <w:pgMar w:left="240" w:top="131" w:right="1440" w:bottom="1440" w:gutter="0" w:footer="0" w:header="0"/>
          <w:type w:val="continuous"/>
        </w:sectPr>
      </w:pPr>
    </w:p>
    <w:p>
      <w:pPr>
        <w:spacing w:after="0" w:line="2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Mr. Brokaw joined the Board of Directors of United in 2012. Since 2007, he has served as Managing Director of Corsair Capital, LLC, a private equity firm focused exclusively on investing in the financial services industry and United’s largest shareholder. Mr. Brokaw also serves as a member of the Investment Committee and leads the quarterly valuation process for Corsair. Mr. Brokaw was Managing Director in the Financial Institutions group at Goldman Sachs &amp; Co. from 1999 to 2007 and worked in the Mergers and Acquisition group of J.P. Morgan from 1996 to 1999. He has had extensive financial experience with banks and insurance companies involving demutualization, initial public offerings, mergers, acquisitions, and capital offerings. Mr. Brokaw serves as a director of Torus Insurance Holdings. He received his bachelor’s and J.D. degrees from the University of Virginia.</w:t>
      </w:r>
    </w:p>
    <w:p>
      <w:pPr>
        <w:spacing w:after="0" w:line="89"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Mr. Brokaw has a breadth of experience in the financial services industries, having served in a number of senior executive and director positions. Mr. Brokaw’s extensive banking and related financial experience over his tenure at a private equity firm and two of the largest financial institutions in the country, provide a valuable perspective to United’s Board of Directors, making him well suited to serve on the Board of Directors.</w:t>
      </w:r>
    </w:p>
    <w:p>
      <w:pPr>
        <w:spacing w:after="0" w:line="6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i w:val="1"/>
                <w:iCs w:val="1"/>
                <w:color w:val="auto"/>
              </w:rPr>
              <w:t>L. Cathy Cox</w:t>
            </w: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Director since 2008</w:t>
            </w:r>
          </w:p>
        </w:tc>
      </w:t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Age 56</w:t>
            </w: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2500" w:type="dxa"/>
            <w:vAlign w:val="bottom"/>
          </w:tcPr>
          <w:p>
            <w:pPr>
              <w:spacing w:after="0"/>
              <w:rPr>
                <w:sz w:val="18"/>
                <w:szCs w:val="18"/>
                <w:color w:val="auto"/>
              </w:rPr>
            </w:pP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Risk Committee</w:t>
            </w:r>
          </w:p>
        </w:tc>
      </w:tr>
      <w:tr>
        <w:trPr>
          <w:trHeight w:val="216"/>
        </w:trPr>
        <w:tc>
          <w:tcPr>
            <w:tcW w:w="2500" w:type="dxa"/>
            <w:vAlign w:val="bottom"/>
          </w:tcPr>
          <w:p>
            <w:pPr>
              <w:spacing w:after="0"/>
              <w:rPr>
                <w:sz w:val="18"/>
                <w:szCs w:val="18"/>
                <w:color w:val="auto"/>
              </w:rPr>
            </w:pP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 Chairman</w:t>
            </w:r>
          </w:p>
        </w:tc>
      </w:tr>
      <w:tr>
        <w:trPr>
          <w:trHeight w:val="230"/>
        </w:trPr>
        <w:tc>
          <w:tcPr>
            <w:tcW w:w="2500" w:type="dxa"/>
            <w:vAlign w:val="bottom"/>
          </w:tcPr>
          <w:p>
            <w:pPr>
              <w:spacing w:after="0"/>
              <w:rPr>
                <w:sz w:val="20"/>
                <w:szCs w:val="20"/>
                <w:color w:val="auto"/>
              </w:rPr>
            </w:pP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 Chairman</w:t>
            </w:r>
          </w:p>
        </w:tc>
      </w:tr>
    </w:tbl>
    <w:p>
      <w:pPr>
        <w:spacing w:after="0" w:line="215"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Ms. Cox has served on both the Board of Directors of United and the board of directors of the Bank since 2008. Ms. Cox has been President of Young Harris College, a private, liberal arts college in North Georgia, since</w:t>
      </w:r>
    </w:p>
    <w:p>
      <w:pPr>
        <w:jc w:val="both"/>
        <w:ind w:left="1260" w:right="739"/>
        <w:spacing w:after="0" w:line="252" w:lineRule="auto"/>
        <w:rPr>
          <w:sz w:val="20"/>
          <w:szCs w:val="20"/>
          <w:color w:val="auto"/>
        </w:rPr>
      </w:pPr>
      <w:r>
        <w:rPr>
          <w:rFonts w:ascii="Arial" w:cs="Arial" w:eastAsia="Arial" w:hAnsi="Arial"/>
          <w:sz w:val="18"/>
          <w:szCs w:val="18"/>
          <w:color w:val="auto"/>
        </w:rPr>
        <w:t>2007. In her time at the college, she has moved the college from two-year to four-year status, doubled student enrollment and the size of the faculty of the institution, and added nearly $100 million in new facilities to the campus. Prior to joining the college, Ms. Cox was twice elected to serve as the Georgia Secretary of State.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86"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w:t>
      </w:r>
    </w:p>
    <w:p>
      <w:pPr>
        <w:spacing w:after="0" w:line="5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 of Directors.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i w:val="1"/>
                <w:iCs w:val="1"/>
                <w:color w:val="auto"/>
              </w:rPr>
              <w:t>Steven J. Goldstein</w:t>
            </w:r>
          </w:p>
        </w:tc>
        <w:tc>
          <w:tcPr>
            <w:tcW w:w="510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Age 63</w:t>
            </w:r>
          </w:p>
        </w:tc>
        <w:tc>
          <w:tcPr>
            <w:tcW w:w="510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6"/>
        </w:trPr>
        <w:tc>
          <w:tcPr>
            <w:tcW w:w="3100" w:type="dxa"/>
            <w:vAlign w:val="bottom"/>
          </w:tcPr>
          <w:p>
            <w:pPr>
              <w:spacing w:after="0"/>
              <w:rPr>
                <w:sz w:val="18"/>
                <w:szCs w:val="18"/>
                <w:color w:val="auto"/>
              </w:rPr>
            </w:pPr>
          </w:p>
        </w:tc>
        <w:tc>
          <w:tcPr>
            <w:tcW w:w="5100" w:type="dxa"/>
            <w:vAlign w:val="bottom"/>
          </w:tcPr>
          <w:p>
            <w:pPr>
              <w:jc w:val="right"/>
              <w:spacing w:after="0"/>
              <w:rPr>
                <w:sz w:val="20"/>
                <w:szCs w:val="20"/>
                <w:color w:val="auto"/>
              </w:rPr>
            </w:pPr>
            <w:r>
              <w:rPr>
                <w:rFonts w:ascii="Arial" w:cs="Arial" w:eastAsia="Arial" w:hAnsi="Arial"/>
                <w:sz w:val="18"/>
                <w:szCs w:val="18"/>
                <w:i w:val="1"/>
                <w:iCs w:val="1"/>
                <w:color w:val="auto"/>
              </w:rPr>
              <w:t>Risk Committee Chairman</w:t>
            </w:r>
          </w:p>
        </w:tc>
      </w:tr>
      <w:tr>
        <w:trPr>
          <w:trHeight w:val="216"/>
        </w:trPr>
        <w:tc>
          <w:tcPr>
            <w:tcW w:w="3100" w:type="dxa"/>
            <w:vAlign w:val="bottom"/>
          </w:tcPr>
          <w:p>
            <w:pPr>
              <w:spacing w:after="0"/>
              <w:rPr>
                <w:sz w:val="18"/>
                <w:szCs w:val="18"/>
                <w:color w:val="auto"/>
              </w:rPr>
            </w:pPr>
          </w:p>
        </w:tc>
        <w:tc>
          <w:tcPr>
            <w:tcW w:w="51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3100" w:type="dxa"/>
            <w:vAlign w:val="bottom"/>
          </w:tcPr>
          <w:p>
            <w:pPr>
              <w:spacing w:after="0"/>
              <w:rPr>
                <w:sz w:val="20"/>
                <w:szCs w:val="20"/>
                <w:color w:val="auto"/>
              </w:rPr>
            </w:pPr>
          </w:p>
        </w:tc>
        <w:tc>
          <w:tcPr>
            <w:tcW w:w="51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83"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Mr. Goldstein joined the Board of Directors of United in 2012. He was Executive Vice President and Chief Financial Officer of The Federal Home Bank of Atlanta from 2007 to 2011. His responsibilities included financial and regulatory reporting, Sarbanes-Oxley compliance, accounting operations, oversight of financial modeling, and enterprise risk management. Mr. Goldstein was senior vice president and chief financial officer of Royal Bank of Canada’s U.S. and International division from 2001 to 2006 following its acquisition of Centura Banks, Inc. where Mr. Goldstein had been Chief Financial Officer from 1997 to 2001. For the previous 16 years, Mr. Goldstein held several senior management roles with financial services consulting firms, and served as an analyst, and was a deputy director of the Office of Public and Economic Research at the Federal Home Loan Bank Board in Washington, D.C. He began his career as Assistant Professor of Finance at the University of South Carolina. Mr. Goldstein received his bachelor’s, master’s and doctorate degrees from the University of Georgia.</w:t>
      </w:r>
    </w:p>
    <w:p>
      <w:pPr>
        <w:spacing w:after="0" w:line="61"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Mr. Goldstein has decades of experience in the financial services industry having served in senior executive positions in finance and risk management at major banking and regulatory organizations. Mr. Goldstein’s extensive banking and financial experience, including enterprise risk management, provide a valuable perspective to United’s Board of Directors and make him well suited to serve on the Board of Directors.</w:t>
      </w:r>
    </w:p>
    <w:p>
      <w:pPr>
        <w:sectPr>
          <w:pgSz w:w="11900" w:h="16838" w:orient="portrait"/>
          <w:cols w:equalWidth="0" w:num="1">
            <w:col w:w="10219"/>
          </w:cols>
          <w:pgMar w:left="240" w:top="132" w:right="1440" w:bottom="1440" w:gutter="0" w:footer="0" w:header="0"/>
        </w:sectPr>
      </w:pPr>
    </w:p>
    <w:p>
      <w:pPr>
        <w:spacing w:after="0" w:line="6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H. Lynn Harton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Age 53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Director Since 2015</w:t>
      </w:r>
    </w:p>
    <w:p>
      <w:pPr>
        <w:spacing w:after="0" w:line="12" w:lineRule="exact"/>
        <w:rPr>
          <w:sz w:val="20"/>
          <w:szCs w:val="20"/>
          <w:color w:val="auto"/>
        </w:rPr>
      </w:pPr>
    </w:p>
    <w:p>
      <w:pPr>
        <w:jc w:val="right"/>
        <w:ind w:right="739"/>
        <w:spacing w:after="0"/>
        <w:rPr>
          <w:sz w:val="20"/>
          <w:szCs w:val="20"/>
          <w:color w:val="auto"/>
        </w:rPr>
      </w:pPr>
      <w:r>
        <w:rPr>
          <w:rFonts w:ascii="Arial" w:cs="Arial" w:eastAsia="Arial" w:hAnsi="Arial"/>
          <w:sz w:val="16"/>
          <w:szCs w:val="16"/>
          <w:i w:val="1"/>
          <w:iCs w:val="1"/>
          <w:color w:val="auto"/>
        </w:rPr>
        <w:t>President and Chief Operating Officer</w:t>
      </w:r>
    </w:p>
    <w:p>
      <w:pPr>
        <w:spacing w:after="0" w:line="222" w:lineRule="exact"/>
        <w:rPr>
          <w:sz w:val="20"/>
          <w:szCs w:val="20"/>
          <w:color w:val="auto"/>
        </w:rPr>
      </w:pPr>
    </w:p>
    <w:p>
      <w:pPr>
        <w:sectPr>
          <w:pgSz w:w="11900" w:h="16838" w:orient="portrait"/>
          <w:cols w:equalWidth="0" w:num="2">
            <w:col w:w="5980" w:space="720"/>
            <w:col w:w="3519"/>
          </w:cols>
          <w:pgMar w:left="240" w:top="132" w:right="1440" w:bottom="1440" w:gutter="0" w:footer="0" w:header="0"/>
          <w:type w:val="continuous"/>
        </w:sectPr>
      </w:pPr>
    </w:p>
    <w:p>
      <w:pPr>
        <w:spacing w:after="0" w:line="9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Mr. Harton has served on the Board of Directors since February 2015. Mr. Harton currently serves as President and Chief Operating Officer of United and of the Bank. Mr. Harton has served as Chief Operating Officer of United since September 2012. Prior to joining United, from 2010 to 2012, Mr. Harton was Executive Vice President and Special Assistant to the Chief Executive Officer of Toronto-Dominion Bank (“</w:t>
      </w:r>
      <w:r>
        <w:rPr>
          <w:rFonts w:ascii="Arial" w:cs="Arial" w:eastAsia="Arial" w:hAnsi="Arial"/>
          <w:sz w:val="17"/>
          <w:szCs w:val="17"/>
          <w:b w:val="1"/>
          <w:bCs w:val="1"/>
          <w:i w:val="1"/>
          <w:iCs w:val="1"/>
          <w:color w:val="auto"/>
        </w:rPr>
        <w:t>TD Bank</w:t>
      </w:r>
      <w:r>
        <w:rPr>
          <w:rFonts w:ascii="Arial" w:cs="Arial" w:eastAsia="Arial" w:hAnsi="Arial"/>
          <w:sz w:val="17"/>
          <w:szCs w:val="17"/>
          <w:color w:val="auto"/>
        </w:rPr>
        <w:t>”). From 2009 to 2010, Mr. Harton served as President and Chief Executive Officer of The South Financial Group (“</w:t>
      </w:r>
      <w:r>
        <w:rPr>
          <w:rFonts w:ascii="Arial" w:cs="Arial" w:eastAsia="Arial" w:hAnsi="Arial"/>
          <w:sz w:val="17"/>
          <w:szCs w:val="17"/>
          <w:b w:val="1"/>
          <w:bCs w:val="1"/>
          <w:i w:val="1"/>
          <w:iCs w:val="1"/>
          <w:color w:val="auto"/>
        </w:rPr>
        <w:t>TSFG</w:t>
      </w:r>
      <w:r>
        <w:rPr>
          <w:rFonts w:ascii="Arial" w:cs="Arial" w:eastAsia="Arial" w:hAnsi="Arial"/>
          <w:sz w:val="17"/>
          <w:szCs w:val="17"/>
          <w:color w:val="auto"/>
        </w:rPr>
        <w:t>”), and, from 2007 to 2009 was Chief Risk and Chief Credit Officer of the same company. During his time at TSFG, Mr. Harton raised capital to support TSFG during the financial crisis, negotiated the sale of the company to TD Bank, and post-sale, led the successful integration of TSFG into TD Bank. Prior to joining TSFG, from 2003-2007, Mr. Harton was Chief Credit Officer of Regions Financial Corporation and Union Planters Corporation. He also has previously held various executive positions at BB&amp;T.</w:t>
      </w:r>
    </w:p>
    <w:p>
      <w:pPr>
        <w:spacing w:after="0" w:line="7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Mr. Harton is a graduate of Wake Forest University, where he earned a bachelor’s degree in business administration. He currently serves on the Board of Trustees of the Peace Center for the Performing Arts, the Greenville Museum Association Board, and the Risk Management Association (RMA). He has also served on a number of financial boards and committees throughout his career, including the Palmetto Business Forum, RMA National Credit Risk Council, CBA National Small Business Banking Committee, and the Equifax Small Business Financial Exchange.</w:t>
      </w:r>
    </w:p>
    <w:p>
      <w:pPr>
        <w:spacing w:after="0" w:line="85"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As President and Chief Operating Officer, Mr. Harton is one of two officers serving on our Board. With more than 30 years of experience in the banking and finance industry, Mr. Harton has extensive experience with respect to lending, risk management, credit administration and virtually all other aspects of United’s business. Mr. Harton’s leadership, experience and good judgment make him well suited to serve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i w:val="1"/>
                <w:iCs w:val="1"/>
                <w:color w:val="auto"/>
              </w:rPr>
              <w:t>W. C. Nelson, Jr.</w:t>
            </w:r>
          </w:p>
        </w:tc>
        <w:tc>
          <w:tcPr>
            <w:tcW w:w="522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6"/>
        </w:trPr>
        <w:tc>
          <w:tcPr>
            <w:tcW w:w="3000" w:type="dxa"/>
            <w:vAlign w:val="bottom"/>
          </w:tcPr>
          <w:p>
            <w:pPr>
              <w:spacing w:after="0"/>
              <w:rPr>
                <w:sz w:val="20"/>
                <w:szCs w:val="20"/>
                <w:color w:val="auto"/>
              </w:rPr>
            </w:pPr>
            <w:r>
              <w:rPr>
                <w:rFonts w:ascii="Arial" w:cs="Arial" w:eastAsia="Arial" w:hAnsi="Arial"/>
                <w:sz w:val="18"/>
                <w:szCs w:val="18"/>
                <w:i w:val="1"/>
                <w:iCs w:val="1"/>
                <w:color w:val="auto"/>
              </w:rPr>
              <w:t>Age 71</w:t>
            </w:r>
          </w:p>
        </w:tc>
        <w:tc>
          <w:tcPr>
            <w:tcW w:w="5220" w:type="dxa"/>
            <w:vAlign w:val="bottom"/>
          </w:tcPr>
          <w:p>
            <w:pPr>
              <w:jc w:val="right"/>
              <w:spacing w:after="0"/>
              <w:rPr>
                <w:sz w:val="20"/>
                <w:szCs w:val="20"/>
                <w:color w:val="auto"/>
              </w:rPr>
            </w:pPr>
            <w:r>
              <w:rPr>
                <w:rFonts w:ascii="Arial" w:cs="Arial" w:eastAsia="Arial" w:hAnsi="Arial"/>
                <w:sz w:val="18"/>
                <w:szCs w:val="18"/>
                <w:i w:val="1"/>
                <w:iCs w:val="1"/>
                <w:color w:val="auto"/>
              </w:rPr>
              <w:t>Lead Director</w:t>
            </w:r>
          </w:p>
        </w:tc>
      </w:tr>
      <w:tr>
        <w:trPr>
          <w:trHeight w:val="216"/>
        </w:trPr>
        <w:tc>
          <w:tcPr>
            <w:tcW w:w="3000" w:type="dxa"/>
            <w:vAlign w:val="bottom"/>
          </w:tcPr>
          <w:p>
            <w:pPr>
              <w:spacing w:after="0"/>
              <w:rPr>
                <w:sz w:val="18"/>
                <w:szCs w:val="18"/>
                <w:color w:val="auto"/>
              </w:rPr>
            </w:pPr>
          </w:p>
        </w:tc>
        <w:tc>
          <w:tcPr>
            <w:tcW w:w="52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3000" w:type="dxa"/>
            <w:vAlign w:val="bottom"/>
          </w:tcPr>
          <w:p>
            <w:pPr>
              <w:spacing w:after="0"/>
              <w:rPr>
                <w:sz w:val="20"/>
                <w:szCs w:val="20"/>
                <w:color w:val="auto"/>
              </w:rPr>
            </w:pPr>
          </w:p>
        </w:tc>
        <w:tc>
          <w:tcPr>
            <w:tcW w:w="52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56"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Mr. Nelson has served on the Board of Directors of United since its formation in 1988, and has served as Lead Director since February 2015, Chairman from March 2012 through February 2015, and Vice Chairman from 1992 through March 2012. He has served on the board of directors of the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w:t>
      </w:r>
    </w:p>
    <w:p>
      <w:pPr>
        <w:spacing w:after="0" w:line="57"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Mr. Nelson attended Young Harris College and The Georgia Institute of Technology. He is a member-emeritus of the Union County Development Board, where he previously served as a member for more than 30 years and as chairman for 15 years. Mr. Nelson is currently on the Young Harris Board of Associates and the Blairsville Downtown Development Authority, and formerly served as a member of the Tennessee Valley Authority Regional Resource Stewardship Council for 12 years.</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to serve on United’s Board of Directors.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200" w:type="dxa"/>
            <w:vAlign w:val="bottom"/>
          </w:tcPr>
          <w:p>
            <w:pPr>
              <w:spacing w:after="0"/>
              <w:rPr>
                <w:sz w:val="20"/>
                <w:szCs w:val="20"/>
                <w:color w:val="auto"/>
              </w:rPr>
            </w:pPr>
            <w:r>
              <w:rPr>
                <w:rFonts w:ascii="Arial" w:cs="Arial" w:eastAsia="Arial" w:hAnsi="Arial"/>
                <w:sz w:val="18"/>
                <w:szCs w:val="18"/>
                <w:i w:val="1"/>
                <w:iCs w:val="1"/>
                <w:color w:val="auto"/>
              </w:rPr>
              <w:t>Thomas A. Richlovsky</w:t>
            </w:r>
          </w:p>
        </w:tc>
        <w:tc>
          <w:tcPr>
            <w:tcW w:w="502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6"/>
        </w:trPr>
        <w:tc>
          <w:tcPr>
            <w:tcW w:w="3200" w:type="dxa"/>
            <w:vAlign w:val="bottom"/>
          </w:tcPr>
          <w:p>
            <w:pPr>
              <w:spacing w:after="0"/>
              <w:rPr>
                <w:sz w:val="20"/>
                <w:szCs w:val="20"/>
                <w:color w:val="auto"/>
              </w:rPr>
            </w:pPr>
            <w:r>
              <w:rPr>
                <w:rFonts w:ascii="Arial" w:cs="Arial" w:eastAsia="Arial" w:hAnsi="Arial"/>
                <w:sz w:val="18"/>
                <w:szCs w:val="18"/>
                <w:i w:val="1"/>
                <w:iCs w:val="1"/>
                <w:color w:val="auto"/>
              </w:rPr>
              <w:t>Age 63</w:t>
            </w:r>
          </w:p>
        </w:tc>
        <w:tc>
          <w:tcPr>
            <w:tcW w:w="5020" w:type="dxa"/>
            <w:vAlign w:val="bottom"/>
          </w:tcPr>
          <w:p>
            <w:pPr>
              <w:jc w:val="right"/>
              <w:spacing w:after="0"/>
              <w:rPr>
                <w:sz w:val="20"/>
                <w:szCs w:val="20"/>
                <w:color w:val="auto"/>
              </w:rPr>
            </w:pPr>
            <w:r>
              <w:rPr>
                <w:rFonts w:ascii="Arial" w:cs="Arial" w:eastAsia="Arial" w:hAnsi="Arial"/>
                <w:sz w:val="18"/>
                <w:szCs w:val="18"/>
                <w:i w:val="1"/>
                <w:iCs w:val="1"/>
                <w:color w:val="auto"/>
              </w:rPr>
              <w:t>Audit Committee Chairman</w:t>
            </w:r>
          </w:p>
        </w:tc>
      </w:tr>
      <w:tr>
        <w:trPr>
          <w:trHeight w:val="216"/>
        </w:trPr>
        <w:tc>
          <w:tcPr>
            <w:tcW w:w="320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Arial" w:cs="Arial" w:eastAsia="Arial" w:hAnsi="Arial"/>
                <w:sz w:val="18"/>
                <w:szCs w:val="18"/>
                <w:i w:val="1"/>
                <w:iCs w:val="1"/>
                <w:color w:val="auto"/>
              </w:rPr>
              <w:t>Risk Committee</w:t>
            </w:r>
          </w:p>
        </w:tc>
      </w:tr>
      <w:tr>
        <w:trPr>
          <w:trHeight w:val="216"/>
        </w:trPr>
        <w:tc>
          <w:tcPr>
            <w:tcW w:w="320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30"/>
        </w:trPr>
        <w:tc>
          <w:tcPr>
            <w:tcW w:w="320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56"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Mr. Richlovsky joined the Board of Directors of United in 2012. He was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CPA.</w:t>
      </w:r>
    </w:p>
    <w:p>
      <w:pPr>
        <w:spacing w:after="0" w:line="7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 related areas of banking provide a valuable perspective to United’s Board of Directors, making him well suited to serve on the Board of Directors.</w:t>
      </w:r>
    </w:p>
    <w:p>
      <w:pPr>
        <w:sectPr>
          <w:pgSz w:w="11900" w:h="16838" w:orient="portrait"/>
          <w:cols w:equalWidth="0" w:num="1">
            <w:col w:w="10219"/>
          </w:cols>
          <w:pgMar w:left="240" w:top="131" w:right="1440" w:bottom="1440" w:gutter="0" w:footer="0" w:header="0"/>
        </w:sectPr>
      </w:pPr>
    </w:p>
    <w:p>
      <w:pPr>
        <w:spacing w:after="0" w:line="92"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Tim R. Wallis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Age 63</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Director since 1999</w:t>
      </w:r>
    </w:p>
    <w:p>
      <w:pPr>
        <w:spacing w:after="0" w:line="12" w:lineRule="exact"/>
        <w:rPr>
          <w:sz w:val="20"/>
          <w:szCs w:val="20"/>
          <w:color w:val="auto"/>
        </w:rPr>
      </w:pPr>
    </w:p>
    <w:p>
      <w:pPr>
        <w:jc w:val="right"/>
        <w:ind w:right="739"/>
        <w:spacing w:after="0"/>
        <w:rPr>
          <w:sz w:val="20"/>
          <w:szCs w:val="20"/>
          <w:color w:val="auto"/>
        </w:rPr>
      </w:pPr>
      <w:r>
        <w:rPr>
          <w:rFonts w:ascii="Arial" w:cs="Arial" w:eastAsia="Arial" w:hAnsi="Arial"/>
          <w:sz w:val="16"/>
          <w:szCs w:val="16"/>
          <w:i w:val="1"/>
          <w:iCs w:val="1"/>
          <w:color w:val="auto"/>
        </w:rPr>
        <w:t>Nominating/Corporate Governance Committee</w:t>
      </w:r>
    </w:p>
    <w:p>
      <w:pPr>
        <w:spacing w:after="0" w:line="30" w:lineRule="exact"/>
        <w:rPr>
          <w:sz w:val="20"/>
          <w:szCs w:val="20"/>
          <w:color w:val="auto"/>
        </w:rPr>
      </w:pPr>
    </w:p>
    <w:p>
      <w:pPr>
        <w:jc w:val="right"/>
        <w:ind w:right="739"/>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5360" w:space="720"/>
            <w:col w:w="4139"/>
          </w:cols>
          <w:pgMar w:left="240" w:top="131" w:right="1440" w:bottom="1440" w:gutter="0" w:footer="0" w:header="0"/>
          <w:type w:val="continuous"/>
        </w:sectPr>
      </w:pPr>
    </w:p>
    <w:p>
      <w:pPr>
        <w:spacing w:after="0" w:line="65"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Directors of United, Mr. Wallis also serves as chairman on the community bank board of United Community Bank — Rome. He has served on</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3" w:lineRule="auto"/>
        <w:rPr>
          <w:sz w:val="20"/>
          <w:szCs w:val="20"/>
          <w:color w:val="auto"/>
        </w:rPr>
      </w:pPr>
      <w:r>
        <w:rPr>
          <w:rFonts w:ascii="Arial" w:cs="Arial" w:eastAsia="Arial" w:hAnsi="Arial"/>
          <w:sz w:val="17"/>
          <w:szCs w:val="17"/>
          <w:color w:val="auto"/>
        </w:rPr>
        <w:t>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70"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and his experience with statewide commerce, the Board believes Mr. Wallis is well suited to serve on the Board of Directors.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There are no family relationships between any director, executive officer, or nominee for director of United.</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Emeritus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May 2013, following his retirement from active duty on the Board of Directors, Robert L. Head, Jr., 75, was elected by the Board to serve as a Director Emeritus. This is an elected role by the Board that provides leadership, counsel and guidance on various issues and policies that could affect United. Prior to retirement, Mr. Head had served as a member of the Board and Chairman from 1988 to 2012. Mr. Head’s years of business experience, depth of understanding of United’s markets and strong commitment to United’s success make him a valuable resource to the Board of Directors.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Independence</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Board has considered and determined that a majority of the members of the Board of Directors are “independent,” as defined under applicable federal securities laws and the Nasdaq listing requirements. During 2014, the independent directors were Directors Nelson, Blalock, Brokaw, Cox, Goldstein, Richlovsky and Wallis. The independent directors meet in executive sessions every quarter without management.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0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The Board has elected Jimmy C. Tallent, United’s Chief Executive Officer, as Chairman, and W.C. Nelson, Jr. as Lead Director. Previously, the Board has operated with a governance structure of a separate Chairman and Chief Executive Officer, but the Board believes at this time that its current structure best serves the interests of shareholders. Meanwhile, the appointment of one of its independent directors as Lead Director ensures that United benefits from effective oversight by its independent directors. This combination provides deep experience in United’s organization, strategy and markets, from Mr. Tallent, along with independent, shareholder-focused leadership to United from a substantial shareholder, from Mr. Nelson.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 xml:space="preserve">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which are available on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Identified below are the members of the committees as of March 15, 2015 (M — member; C — chairman):</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Nominating/</w:t>
            </w: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Corporate</w:t>
            </w:r>
          </w:p>
        </w:tc>
        <w:tc>
          <w:tcPr>
            <w:tcW w:w="980" w:type="dxa"/>
            <w:vAlign w:val="bottom"/>
          </w:tcPr>
          <w:p>
            <w:pPr>
              <w:spacing w:after="0"/>
              <w:rPr>
                <w:sz w:val="14"/>
                <w:szCs w:val="14"/>
                <w:color w:val="auto"/>
              </w:rPr>
            </w:pPr>
          </w:p>
        </w:tc>
      </w:tr>
      <w:tr>
        <w:trPr>
          <w:trHeight w:val="18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Audit</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Risk</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Governance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26"/>
        </w:trPr>
        <w:tc>
          <w:tcPr>
            <w:tcW w:w="3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 Nelson, Jr.</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57"/>
        </w:trPr>
        <w:tc>
          <w:tcPr>
            <w:tcW w:w="328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57"/>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V. Brokaw</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57"/>
        </w:trPr>
        <w:tc>
          <w:tcPr>
            <w:tcW w:w="328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7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Goldstein</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C</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Richlovsky</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C</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R. Wallis</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M</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-1517015</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-1517015</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-1517015</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-1517015</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63"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6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The Board of Directors has determined that all of the members of the Audit Committee are “financially sophisticated,” as defined under the Nasdaq listing requirements, and that Directors Goldstein and Richlovsky qualify as “audit committee financial experts” in accordance with the applicable rules and requirements of the SEC.</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met eight times during 2014.</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 Committee</w:t>
      </w:r>
    </w:p>
    <w:p>
      <w:pPr>
        <w:spacing w:after="0" w:line="7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Risk Committee met four times during 2014.</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Nominating/Corporate Governance Committee</w:t>
      </w:r>
    </w:p>
    <w:p>
      <w:pPr>
        <w:spacing w:after="0" w:line="77"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three times during 2014.</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United’s Amended and Restated 2000 Key Employee Stock Option Plan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Deferred Compensation Plan (the “</w:t>
      </w:r>
      <w:r>
        <w:rPr>
          <w:rFonts w:ascii="Arial" w:cs="Arial" w:eastAsia="Arial" w:hAnsi="Arial"/>
          <w:sz w:val="16"/>
          <w:szCs w:val="16"/>
          <w:b w:val="1"/>
          <w:bCs w:val="1"/>
          <w:i w:val="1"/>
          <w:iCs w:val="1"/>
          <w:color w:val="auto"/>
        </w:rPr>
        <w:t>Deferred Compensation Plan</w:t>
      </w:r>
      <w:r>
        <w:rPr>
          <w:rFonts w:ascii="Arial" w:cs="Arial" w:eastAsia="Arial" w:hAnsi="Arial"/>
          <w:sz w:val="16"/>
          <w:szCs w:val="16"/>
          <w:color w:val="auto"/>
        </w:rPr>
        <w:t>”), Modified Retirement Plan (the “</w:t>
      </w:r>
      <w:r>
        <w:rPr>
          <w:rFonts w:ascii="Arial" w:cs="Arial" w:eastAsia="Arial" w:hAnsi="Arial"/>
          <w:sz w:val="16"/>
          <w:szCs w:val="16"/>
          <w:b w:val="1"/>
          <w:bCs w:val="1"/>
          <w:i w:val="1"/>
          <w:iCs w:val="1"/>
          <w:color w:val="auto"/>
        </w:rPr>
        <w:t>Modified Retirement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Management Annual Incentive Plan (the “</w:t>
      </w:r>
      <w:r>
        <w:rPr>
          <w:rFonts w:ascii="Arial" w:cs="Arial" w:eastAsia="Arial" w:hAnsi="Arial"/>
          <w:sz w:val="16"/>
          <w:szCs w:val="16"/>
          <w:b w:val="1"/>
          <w:bCs w:val="1"/>
          <w:i w:val="1"/>
          <w:iCs w:val="1"/>
          <w:color w:val="auto"/>
        </w:rPr>
        <w:t>Management Incentive Plan</w:t>
      </w:r>
      <w:r>
        <w:rPr>
          <w:rFonts w:ascii="Arial" w:cs="Arial" w:eastAsia="Arial" w:hAnsi="Arial"/>
          <w:sz w:val="16"/>
          <w:szCs w:val="16"/>
          <w:color w:val="auto"/>
        </w:rPr>
        <w:t>”), as well as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arrangements for all employees. It periodically reviews and makes recommendations to the Board with respect to director compensation. The Compensation Committee met five times during 2014.</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Meetings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Board of Directors held fourteen meetings during 2014. All of the directors attended at least 75% of the meetings of the Board and meetings of the committees of the Board on which they served that were held during 2014. Directors are expected to be present at the Annual Meeting of United. Seven of the directors attended the 2014 Annual Meeting of United.</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Oversight</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Risk oversight of United is the responsibility of the Board of Directors. In such capacity, the Board receives and discusses regular reports prepared by United’s senior management, including the Chief Risk Officer, on areas of material risk to the company. The Board (or the appropriate committee in the case of risks that are under the purview of a particular committee) uses these reports to enable it to understand the risk identification, risk management and risk mitigation strategies being used by the company and to ensure that the strategies are implemented appropriately. To further support the risk management function, United also has an Risk Committee, comprised solely of independent directors.</w:t>
      </w:r>
    </w:p>
    <w:p>
      <w:pPr>
        <w:spacing w:after="0" w:line="81"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United believes its risk management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management.</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of Directors as a substitute nominee, but in no event will the proxy be voted for more than eight nominees. Management of United has no reason to believe that any nominee will not serve if elected. All of the nominees are currently directors of United.</w:t>
      </w:r>
    </w:p>
    <w:p>
      <w:pPr>
        <w:spacing w:after="0" w:line="6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An abstention or a broker non-vote will be included in determining whether a quorum is present at the meeting, but will not have any other effect on the outcome of a vote.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98"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The Board of Directors unanimously recommends a vote “FOR” each nominee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 xml:space="preserve">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 The following is a summary of these procedures:</w:t>
      </w:r>
    </w:p>
    <w:p>
      <w:pPr>
        <w:spacing w:after="0" w:line="166" w:lineRule="exact"/>
        <w:rPr>
          <w:sz w:val="20"/>
          <w:szCs w:val="20"/>
          <w:color w:val="auto"/>
        </w:rPr>
      </w:pPr>
    </w:p>
    <w:p>
      <w:pPr>
        <w:jc w:val="both"/>
        <w:ind w:left="1980" w:right="759" w:hanging="352"/>
        <w:spacing w:after="0" w:line="264"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4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w:t>
      </w:r>
    </w:p>
    <w:p>
      <w:pPr>
        <w:spacing w:after="0" w:line="130" w:lineRule="exact"/>
        <w:rPr>
          <w:rFonts w:ascii="Arial" w:cs="Arial" w:eastAsia="Arial" w:hAnsi="Arial"/>
          <w:sz w:val="18"/>
          <w:szCs w:val="18"/>
          <w:color w:val="auto"/>
        </w:rPr>
      </w:pPr>
    </w:p>
    <w:p>
      <w:pPr>
        <w:ind w:left="2340" w:right="759" w:hanging="351"/>
        <w:spacing w:after="0" w:line="277" w:lineRule="auto"/>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of United which are beneficially owned by the person;</w:t>
      </w:r>
    </w:p>
    <w:p>
      <w:pPr>
        <w:spacing w:after="0" w:line="155" w:lineRule="exact"/>
        <w:rPr>
          <w:rFonts w:ascii="Arial" w:cs="Arial" w:eastAsia="Arial" w:hAnsi="Arial"/>
          <w:sz w:val="17"/>
          <w:szCs w:val="17"/>
          <w:color w:val="auto"/>
        </w:rPr>
      </w:pPr>
    </w:p>
    <w:p>
      <w:pPr>
        <w:ind w:left="2340" w:right="759" w:hanging="351"/>
        <w:spacing w:after="0" w:line="277" w:lineRule="auto"/>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130" w:lineRule="exact"/>
        <w:rPr>
          <w:rFonts w:ascii="Arial" w:cs="Arial" w:eastAsia="Arial" w:hAnsi="Arial"/>
          <w:sz w:val="18"/>
          <w:szCs w:val="18"/>
          <w:color w:val="auto"/>
        </w:rPr>
      </w:pPr>
    </w:p>
    <w:p>
      <w:pPr>
        <w:ind w:left="2340" w:right="759" w:hanging="351"/>
        <w:spacing w:after="0" w:line="277" w:lineRule="auto"/>
        <w:tabs>
          <w:tab w:leader="none" w:pos="2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62"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Notices shall be sent to the Secretary, United Community Banks, Inc., P.O. Box 398, Blairsville, Georgia 30514-0398. There were no director nominations proposed for this year’s Annual Meeting by any shareholder.</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Majority Vote Requirement</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Ethical Conduct</w:t>
      </w:r>
    </w:p>
    <w:p>
      <w:pPr>
        <w:spacing w:after="0" w:line="10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 xml:space="preserve">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Communication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79"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70"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Neither the Board of Directors of United nor the Audit Committee has approved any related person transactions during the past three years in accordance with United’s written related person transaction policy.</w:t>
      </w:r>
    </w:p>
    <w:p>
      <w:pPr>
        <w:spacing w:after="0" w:line="38"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The Bank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Compensation Committee of the Board of Directors has the important responsibility of ensuring that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United’s executive compensation policies and practices are based on three basic principles:</w:t>
      </w:r>
    </w:p>
    <w:p>
      <w:pPr>
        <w:spacing w:after="0" w:line="184" w:lineRule="exact"/>
        <w:rPr>
          <w:sz w:val="20"/>
          <w:szCs w:val="20"/>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appropriate performance-based on pre-established goals; and</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consistency with sound risk management practices and a balance between short-term and long-term objectives that provide for value creation for the company and our shareholders.</w:t>
      </w:r>
    </w:p>
    <w:p>
      <w:pPr>
        <w:spacing w:after="0" w:line="6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used in this “Compensation of Executive Officers and Directors” section, the following executives of United are referred to collectively as the “Named Executive Officers”: Jimmy Tallent — Chairman and Chief Executive Officer; Lynn Harton — President and Chief Operating Officer; Rex Schuette — Executive Vice President and Chief Financial Officer; David Shearrow — former Executive Vice President and Chief Risk Officer; and Bill Gilbert — President of Community Banking. Mr. Shearrow retired effective January 31, 2015. Mr. Tallent’s role as Chairman and Mr. Harton’s role as President are new positions that became effective February 10, 2015.</w:t>
      </w:r>
    </w:p>
    <w:p>
      <w:pPr>
        <w:spacing w:after="0" w:line="8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Compensation Committee considered, among other things, the following significant matters when making its 2014 compensation decisions:</w:t>
      </w:r>
    </w:p>
    <w:p>
      <w:pPr>
        <w:spacing w:after="0" w:line="143" w:lineRule="exact"/>
        <w:rPr>
          <w:sz w:val="20"/>
          <w:szCs w:val="20"/>
          <w:color w:val="auto"/>
        </w:rPr>
      </w:pPr>
    </w:p>
    <w:p>
      <w:pPr>
        <w:jc w:val="both"/>
        <w:ind w:left="1980" w:right="739" w:hanging="352"/>
        <w:spacing w:after="0" w:line="255"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United reported net income of $67.6 million, or $1.11 per diluted share, for 2014. United achieved significant improvement in earnings throughout 2014. Earnings per share increased from $0.22 per diluted share in the fourth quarter of 2013 to $0.30 per diluted share in the fourth quarter of 2014. In addition, our return on assets improved from 0.86% in the fourth quarter of 2013 to 0.96% in the fourth quarter of 2014 and our return on common equity improved from 7.5% in the fourth quarter of 2013 to 9.6% in the fourth quarter of 2014.</w:t>
      </w:r>
    </w:p>
    <w:p>
      <w:pPr>
        <w:spacing w:after="0" w:line="152" w:lineRule="exact"/>
        <w:rPr>
          <w:rFonts w:ascii="Arial" w:cs="Arial" w:eastAsia="Arial" w:hAnsi="Arial"/>
          <w:sz w:val="18"/>
          <w:szCs w:val="18"/>
          <w:color w:val="auto"/>
        </w:rPr>
      </w:pPr>
    </w:p>
    <w:p>
      <w:pPr>
        <w:jc w:val="both"/>
        <w:ind w:left="1980" w:right="759" w:hanging="352"/>
        <w:spacing w:after="0" w:line="276" w:lineRule="auto"/>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United made a number of successful investments in new businesses and markets in 2014. United acquired Business Carolina, Inc., a lending corporation that specializes in SBA and USDA lending, and added management, lenders, underwriters and operations to its specialized lending areas. Additional investments were made in health care, income property, asset-based lending and builder finance that collectively drove much of United’s $343 million in loan growth in 2014.</w:t>
      </w:r>
    </w:p>
    <w:p>
      <w:pPr>
        <w:spacing w:after="0" w:line="132" w:lineRule="exact"/>
        <w:rPr>
          <w:rFonts w:ascii="Arial" w:cs="Arial" w:eastAsia="Arial" w:hAnsi="Arial"/>
          <w:sz w:val="17"/>
          <w:szCs w:val="17"/>
          <w:color w:val="auto"/>
        </w:rPr>
      </w:pPr>
    </w:p>
    <w:p>
      <w:pPr>
        <w:jc w:val="both"/>
        <w:ind w:left="1980" w:right="759" w:hanging="352"/>
        <w:spacing w:after="0" w:line="259"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quality continued its improving trend leading to much lower levels of nonperforming assets and a lower provision for credit losses. Net charge-offs to average loans declined from 2.22% for 2013 to 0.31% for 2014, while non-performing assets to total assets declined from 0.42% as of year-end 2013 to 0.26% as of year-end 2014.</w:t>
      </w:r>
    </w:p>
    <w:p>
      <w:pPr>
        <w:spacing w:after="0" w:line="146" w:lineRule="exact"/>
        <w:rPr>
          <w:rFonts w:ascii="Arial" w:cs="Arial" w:eastAsia="Arial" w:hAnsi="Arial"/>
          <w:sz w:val="18"/>
          <w:szCs w:val="18"/>
          <w:color w:val="auto"/>
        </w:rPr>
      </w:pPr>
    </w:p>
    <w:p>
      <w:pPr>
        <w:jc w:val="both"/>
        <w:ind w:left="1980" w:right="759" w:hanging="352"/>
        <w:spacing w:after="0" w:line="312" w:lineRule="auto"/>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United redeemed $75 million of our Series B Preferred Stock in December 2013 which was followed by the redemption of the remaining $105 million in early January 2014. United also redeemed $16.6 million in Series D Preferred Stock in March 2014 and no longer has any preferred stock outstanding.</w:t>
      </w:r>
    </w:p>
    <w:p>
      <w:pPr>
        <w:spacing w:after="0" w:line="119" w:lineRule="exact"/>
        <w:rPr>
          <w:rFonts w:ascii="Arial" w:cs="Arial" w:eastAsia="Arial" w:hAnsi="Arial"/>
          <w:sz w:val="16"/>
          <w:szCs w:val="16"/>
          <w:color w:val="auto"/>
        </w:rPr>
      </w:pPr>
    </w:p>
    <w:p>
      <w:pPr>
        <w:jc w:val="both"/>
        <w:ind w:left="1980" w:right="759" w:hanging="352"/>
        <w:spacing w:after="0" w:line="259"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2014, United restored its practice of providing bank cash dividends to the holding company for liquidity, debt service and general corporate purposes. Additionally, United resumed paying a quarterly cash dividend to shareholders in the second quarter of 2014 in the amount of $0.03 per share, which was increased to $0.05 per share in the fourth quarter of 2014.</w:t>
      </w:r>
    </w:p>
    <w:p>
      <w:pPr>
        <w:spacing w:after="0" w:line="7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recognition of these accomplishments in 2014 and in light of United’s guiding principles for executive compensation policies and practices, the Compensation Committee set compensation for its Named Executive Officers designed to ensure that United can retain its strong management team and focus</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312" w:lineRule="auto"/>
        <w:rPr>
          <w:sz w:val="20"/>
          <w:szCs w:val="20"/>
          <w:color w:val="auto"/>
        </w:rPr>
      </w:pPr>
      <w:r>
        <w:rPr>
          <w:rFonts w:ascii="Arial" w:cs="Arial" w:eastAsia="Arial" w:hAnsi="Arial"/>
          <w:sz w:val="16"/>
          <w:szCs w:val="16"/>
          <w:color w:val="auto"/>
        </w:rPr>
        <w:t>senior management on long-term growth and shareholder value creation. We believe that United’s target mix of compensation allows our compensation to vary appropriately based on corporate and individual performance in a manner that is aligned with shareholder interests and represents sound risk management principles.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Philosophy</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United’s compensation programs are designed to attract and retain key employees and to motivate them to achieve desired short- and long-term objectives with the goal of increasing shareholder value over the long-term.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6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Compensation Committee believes that the compensation of the company’s Named Executive Officers should reflect their success as a management team and as individuals in attaining key operating objectives, considered in light of economic, industry and competitive conditions. Key operating objectives include growth of revenue, loans and deposits; growth of earnings and earnings per share; returns on equity and assets; growth or maintenance of market share, long-term competitive advantage, customer satisfaction and operating efficiencies; and, ultimately, long-term growth in the market price of United’s stock. The Compensation Committee also believes that compensation should not be excessive or based on the short-term performance of United’s stock, whether favorable or unfavorable, and should not encourage unnecessary or excessive risks.</w:t>
      </w:r>
    </w:p>
    <w:p>
      <w:pPr>
        <w:spacing w:after="0" w:line="58"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To further tie the financial interests of United’s senior management to those of United’s shareholders, United has established stock ownership and retention guidelines for senior management that requires certain levels of common stock to be held within five years in their position. Under these guidelines, executive officers are expected to accumulate a number of shares of common stock having a value equaling four times base salary in the case of each of our chief executive officer and our president, and three times base salary in the case of the other executive officers. All of our executive officers have met or will meet these targets within the five-year-period. United also has a policy that generally prohibits its employees, officers and directors from engaging in short sales or trading in puts, calls and other options or derivatives with respect to the securities of the company.</w:t>
      </w:r>
    </w:p>
    <w:p>
      <w:pPr>
        <w:spacing w:after="0" w:line="58"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United held an advisory “say on pay” vote in 2014 on the compensation of its Named Executive Officers. United’s shareholders approved such compensation with 96% of votes in favor of the say on pay resolution. As the Compensation Committee evaluated its compensation policies and overall objectives for 2014, it took into consideration this vote of United’s shareholders. In the future, the Compensation Committee will continue to take the results of the say on pay vote into account. While this vote is not binding on United, the Board of Directors and Compensation Committee value the opinions of shareholders and, to the extent there is any significant vote against the compensation of our Named Executive Officers, we will consider shareholders’ concerns and the Compensation Committee will evaluate whether any actions are necessary to address those concerns.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Generally, the Compensation Committee reviews the performance and approves all compensation of United’s Named Executive Officers and, based upon this evaluation, establishes their compensation. For all Named Executive Officers other than the Chief Executive Officer, the Chief Executive Officer makes recommendations to the Compensation Committee. Mr. Tallent attends the Compensation Committee meetings, participates in discussions and provides information that the Compensation Committee considers, but he is not in attendance nor does he participate in deliberations or voting with respect to his own compensation.</w:t>
      </w:r>
    </w:p>
    <w:p>
      <w:pPr>
        <w:spacing w:after="0" w:line="57"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In setting and approving compensation of the Named Executive Officers,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performing its responsibilities for executive compensation, the Compensation Committee has sole authority to, and does to the extent it deems necessary or desirable, retain and consult with outside professional advisors. Generally, the Compensation Committee will retain outside advisors to complete a thorough review of executive compensation and expects to engage such an advisor in 2015. During 2013, the Compensation Committee engaged Pearl Meyer &amp; Partners (“</w:t>
      </w:r>
      <w:r>
        <w:rPr>
          <w:rFonts w:ascii="Arial" w:cs="Arial" w:eastAsia="Arial" w:hAnsi="Arial"/>
          <w:sz w:val="17"/>
          <w:szCs w:val="17"/>
          <w:b w:val="1"/>
          <w:bCs w:val="1"/>
          <w:i w:val="1"/>
          <w:iCs w:val="1"/>
          <w:color w:val="auto"/>
        </w:rPr>
        <w:t>Pearl Meyer</w:t>
      </w:r>
      <w:r>
        <w:rPr>
          <w:rFonts w:ascii="Arial" w:cs="Arial" w:eastAsia="Arial" w:hAnsi="Arial"/>
          <w:sz w:val="17"/>
          <w:szCs w:val="17"/>
          <w:color w:val="auto"/>
        </w:rPr>
        <w:t>”) as its independent compensation consultant to perform a study of the compensation of executive management of companies of comparable size within the financial services industry. The group used to compare executive compensation was the following peer group of 18 bank holding companies with asset sizes ranging from $3.6 to $13.4 billion and an average asset size of $7.4 billion (the “</w:t>
      </w:r>
      <w:r>
        <w:rPr>
          <w:rFonts w:ascii="Arial" w:cs="Arial" w:eastAsia="Arial" w:hAnsi="Arial"/>
          <w:sz w:val="17"/>
          <w:szCs w:val="17"/>
          <w:b w:val="1"/>
          <w:bCs w:val="1"/>
          <w:i w:val="1"/>
          <w:iCs w:val="1"/>
          <w:color w:val="auto"/>
        </w:rPr>
        <w:t>Peer Group</w:t>
      </w:r>
      <w:r>
        <w:rPr>
          <w:rFonts w:ascii="Arial" w:cs="Arial" w:eastAsia="Arial" w:hAnsi="Arial"/>
          <w:sz w:val="17"/>
          <w:szCs w:val="17"/>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BancorpSouth, Inc</w:t>
            </w:r>
          </w:p>
        </w:tc>
        <w:tc>
          <w:tcPr>
            <w:tcW w:w="1340" w:type="dxa"/>
            <w:vAlign w:val="bottom"/>
          </w:tcPr>
          <w:p>
            <w:pPr>
              <w:ind w:left="220"/>
              <w:spacing w:after="0"/>
              <w:rPr>
                <w:sz w:val="20"/>
                <w:szCs w:val="20"/>
                <w:color w:val="auto"/>
              </w:rPr>
            </w:pPr>
            <w:r>
              <w:rPr>
                <w:rFonts w:ascii="Arial" w:cs="Arial" w:eastAsia="Arial" w:hAnsi="Arial"/>
                <w:sz w:val="14"/>
                <w:szCs w:val="14"/>
                <w:color w:val="auto"/>
              </w:rPr>
              <w:t>Tupelo, MS</w:t>
            </w:r>
          </w:p>
        </w:tc>
        <w:tc>
          <w:tcPr>
            <w:tcW w:w="2860" w:type="dxa"/>
            <w:vAlign w:val="bottom"/>
          </w:tcPr>
          <w:p>
            <w:pPr>
              <w:ind w:left="120"/>
              <w:spacing w:after="0"/>
              <w:rPr>
                <w:sz w:val="20"/>
                <w:szCs w:val="20"/>
                <w:color w:val="auto"/>
              </w:rPr>
            </w:pPr>
            <w:r>
              <w:rPr>
                <w:rFonts w:ascii="Arial" w:cs="Arial" w:eastAsia="Arial" w:hAnsi="Arial"/>
                <w:sz w:val="14"/>
                <w:szCs w:val="14"/>
                <w:color w:val="auto"/>
              </w:rPr>
              <w:t>Northwest Bancshares, Inc.</w:t>
            </w:r>
          </w:p>
        </w:tc>
        <w:tc>
          <w:tcPr>
            <w:tcW w:w="1140" w:type="dxa"/>
            <w:vAlign w:val="bottom"/>
          </w:tcPr>
          <w:p>
            <w:pPr>
              <w:ind w:left="200"/>
              <w:spacing w:after="0"/>
              <w:rPr>
                <w:sz w:val="20"/>
                <w:szCs w:val="20"/>
                <w:color w:val="auto"/>
              </w:rPr>
            </w:pPr>
            <w:r>
              <w:rPr>
                <w:rFonts w:ascii="Arial" w:cs="Arial" w:eastAsia="Arial" w:hAnsi="Arial"/>
                <w:sz w:val="14"/>
                <w:szCs w:val="14"/>
                <w:color w:val="auto"/>
              </w:rPr>
              <w:t>Warren, PA</w:t>
            </w:r>
          </w:p>
        </w:tc>
      </w:tr>
      <w:tr>
        <w:trPr>
          <w:trHeight w:val="216"/>
        </w:trPr>
        <w:tc>
          <w:tcPr>
            <w:tcW w:w="2740" w:type="dxa"/>
            <w:vAlign w:val="bottom"/>
          </w:tcPr>
          <w:p>
            <w:pPr>
              <w:spacing w:after="0"/>
              <w:rPr>
                <w:sz w:val="20"/>
                <w:szCs w:val="20"/>
                <w:color w:val="auto"/>
              </w:rPr>
            </w:pPr>
            <w:r>
              <w:rPr>
                <w:rFonts w:ascii="Arial" w:cs="Arial" w:eastAsia="Arial" w:hAnsi="Arial"/>
                <w:sz w:val="14"/>
                <w:szCs w:val="14"/>
                <w:color w:val="auto"/>
              </w:rPr>
              <w:t>BankUnited, Inc.</w:t>
            </w:r>
          </w:p>
        </w:tc>
        <w:tc>
          <w:tcPr>
            <w:tcW w:w="1340" w:type="dxa"/>
            <w:vAlign w:val="bottom"/>
          </w:tcPr>
          <w:p>
            <w:pPr>
              <w:ind w:left="220"/>
              <w:spacing w:after="0"/>
              <w:rPr>
                <w:sz w:val="20"/>
                <w:szCs w:val="20"/>
                <w:color w:val="auto"/>
              </w:rPr>
            </w:pPr>
            <w:r>
              <w:rPr>
                <w:rFonts w:ascii="Arial" w:cs="Arial" w:eastAsia="Arial" w:hAnsi="Arial"/>
                <w:sz w:val="14"/>
                <w:szCs w:val="14"/>
                <w:color w:val="auto"/>
              </w:rPr>
              <w:t>Miami Lakes, FL</w:t>
            </w:r>
          </w:p>
        </w:tc>
        <w:tc>
          <w:tcPr>
            <w:tcW w:w="2860" w:type="dxa"/>
            <w:vAlign w:val="bottom"/>
          </w:tcPr>
          <w:p>
            <w:pPr>
              <w:ind w:left="120"/>
              <w:spacing w:after="0"/>
              <w:rPr>
                <w:sz w:val="20"/>
                <w:szCs w:val="20"/>
                <w:color w:val="auto"/>
              </w:rPr>
            </w:pPr>
            <w:r>
              <w:rPr>
                <w:rFonts w:ascii="Arial" w:cs="Arial" w:eastAsia="Arial" w:hAnsi="Arial"/>
                <w:sz w:val="14"/>
                <w:szCs w:val="14"/>
                <w:color w:val="auto"/>
              </w:rPr>
              <w:t>Pinnacle Financial Partners, Inc.</w:t>
            </w:r>
          </w:p>
        </w:tc>
        <w:tc>
          <w:tcPr>
            <w:tcW w:w="1140" w:type="dxa"/>
            <w:vAlign w:val="bottom"/>
          </w:tcPr>
          <w:p>
            <w:pPr>
              <w:ind w:left="200"/>
              <w:spacing w:after="0"/>
              <w:rPr>
                <w:sz w:val="20"/>
                <w:szCs w:val="20"/>
                <w:color w:val="auto"/>
              </w:rPr>
            </w:pPr>
            <w:r>
              <w:rPr>
                <w:rFonts w:ascii="Arial" w:cs="Arial" w:eastAsia="Arial" w:hAnsi="Arial"/>
                <w:sz w:val="14"/>
                <w:szCs w:val="14"/>
                <w:color w:val="auto"/>
              </w:rPr>
              <w:t>Nashville, TN</w:t>
            </w:r>
          </w:p>
        </w:tc>
      </w:tr>
      <w:tr>
        <w:trPr>
          <w:trHeight w:val="230"/>
        </w:trPr>
        <w:tc>
          <w:tcPr>
            <w:tcW w:w="2740" w:type="dxa"/>
            <w:vAlign w:val="bottom"/>
          </w:tcPr>
          <w:p>
            <w:pPr>
              <w:spacing w:after="0"/>
              <w:rPr>
                <w:sz w:val="20"/>
                <w:szCs w:val="20"/>
                <w:color w:val="auto"/>
              </w:rPr>
            </w:pPr>
            <w:r>
              <w:rPr>
                <w:rFonts w:ascii="Arial" w:cs="Arial" w:eastAsia="Arial" w:hAnsi="Arial"/>
                <w:sz w:val="14"/>
                <w:szCs w:val="14"/>
                <w:color w:val="auto"/>
              </w:rPr>
              <w:t>Beneficial Mutual Bancorp, Inc.</w:t>
            </w:r>
          </w:p>
        </w:tc>
        <w:tc>
          <w:tcPr>
            <w:tcW w:w="1340" w:type="dxa"/>
            <w:vAlign w:val="bottom"/>
          </w:tcPr>
          <w:p>
            <w:pPr>
              <w:ind w:left="220"/>
              <w:spacing w:after="0"/>
              <w:rPr>
                <w:sz w:val="20"/>
                <w:szCs w:val="20"/>
                <w:color w:val="auto"/>
              </w:rPr>
            </w:pPr>
            <w:r>
              <w:rPr>
                <w:rFonts w:ascii="Arial" w:cs="Arial" w:eastAsia="Arial" w:hAnsi="Arial"/>
                <w:sz w:val="14"/>
                <w:szCs w:val="14"/>
                <w:color w:val="auto"/>
              </w:rPr>
              <w:t>Philadelphia, PA</w:t>
            </w:r>
          </w:p>
        </w:tc>
        <w:tc>
          <w:tcPr>
            <w:tcW w:w="2860" w:type="dxa"/>
            <w:vAlign w:val="bottom"/>
          </w:tcPr>
          <w:p>
            <w:pPr>
              <w:ind w:left="120"/>
              <w:spacing w:after="0"/>
              <w:rPr>
                <w:sz w:val="20"/>
                <w:szCs w:val="20"/>
                <w:color w:val="auto"/>
              </w:rPr>
            </w:pPr>
            <w:r>
              <w:rPr>
                <w:rFonts w:ascii="Arial" w:cs="Arial" w:eastAsia="Arial" w:hAnsi="Arial"/>
                <w:sz w:val="14"/>
                <w:szCs w:val="14"/>
                <w:color w:val="auto"/>
              </w:rPr>
              <w:t>Renasant Corporation</w:t>
            </w:r>
          </w:p>
        </w:tc>
        <w:tc>
          <w:tcPr>
            <w:tcW w:w="1140" w:type="dxa"/>
            <w:vAlign w:val="bottom"/>
          </w:tcPr>
          <w:p>
            <w:pPr>
              <w:ind w:left="200"/>
              <w:spacing w:after="0"/>
              <w:rPr>
                <w:sz w:val="20"/>
                <w:szCs w:val="20"/>
                <w:color w:val="auto"/>
              </w:rPr>
            </w:pPr>
            <w:r>
              <w:rPr>
                <w:rFonts w:ascii="Arial" w:cs="Arial" w:eastAsia="Arial" w:hAnsi="Arial"/>
                <w:sz w:val="14"/>
                <w:szCs w:val="14"/>
                <w:color w:val="auto"/>
              </w:rPr>
              <w:t>Tupelo, MS</w:t>
            </w:r>
          </w:p>
        </w:tc>
      </w:tr>
      <w:tr>
        <w:trPr>
          <w:trHeight w:val="230"/>
        </w:trPr>
        <w:tc>
          <w:tcPr>
            <w:tcW w:w="2740" w:type="dxa"/>
            <w:vAlign w:val="bottom"/>
          </w:tcPr>
          <w:p>
            <w:pPr>
              <w:spacing w:after="0"/>
              <w:rPr>
                <w:sz w:val="20"/>
                <w:szCs w:val="20"/>
                <w:color w:val="auto"/>
              </w:rPr>
            </w:pPr>
            <w:r>
              <w:rPr>
                <w:rFonts w:ascii="Arial" w:cs="Arial" w:eastAsia="Arial" w:hAnsi="Arial"/>
                <w:sz w:val="14"/>
                <w:szCs w:val="14"/>
                <w:color w:val="auto"/>
              </w:rPr>
              <w:t>Community Trust Bancorp, Inc.</w:t>
            </w:r>
          </w:p>
        </w:tc>
        <w:tc>
          <w:tcPr>
            <w:tcW w:w="1340" w:type="dxa"/>
            <w:vAlign w:val="bottom"/>
          </w:tcPr>
          <w:p>
            <w:pPr>
              <w:ind w:left="220"/>
              <w:spacing w:after="0"/>
              <w:rPr>
                <w:sz w:val="20"/>
                <w:szCs w:val="20"/>
                <w:color w:val="auto"/>
              </w:rPr>
            </w:pPr>
            <w:r>
              <w:rPr>
                <w:rFonts w:ascii="Arial" w:cs="Arial" w:eastAsia="Arial" w:hAnsi="Arial"/>
                <w:sz w:val="14"/>
                <w:szCs w:val="14"/>
                <w:color w:val="auto"/>
              </w:rPr>
              <w:t>Pikeville, KY</w:t>
            </w:r>
          </w:p>
        </w:tc>
        <w:tc>
          <w:tcPr>
            <w:tcW w:w="2860" w:type="dxa"/>
            <w:vAlign w:val="bottom"/>
          </w:tcPr>
          <w:p>
            <w:pPr>
              <w:ind w:left="120"/>
              <w:spacing w:after="0"/>
              <w:rPr>
                <w:sz w:val="20"/>
                <w:szCs w:val="20"/>
                <w:color w:val="auto"/>
              </w:rPr>
            </w:pPr>
            <w:r>
              <w:rPr>
                <w:rFonts w:ascii="Arial" w:cs="Arial" w:eastAsia="Arial" w:hAnsi="Arial"/>
                <w:sz w:val="14"/>
                <w:szCs w:val="14"/>
                <w:color w:val="auto"/>
              </w:rPr>
              <w:t>S&amp;T Bancorp, Inc.</w:t>
            </w:r>
          </w:p>
        </w:tc>
        <w:tc>
          <w:tcPr>
            <w:tcW w:w="1140" w:type="dxa"/>
            <w:vAlign w:val="bottom"/>
          </w:tcPr>
          <w:p>
            <w:pPr>
              <w:ind w:left="200"/>
              <w:spacing w:after="0"/>
              <w:rPr>
                <w:sz w:val="20"/>
                <w:szCs w:val="20"/>
                <w:color w:val="auto"/>
              </w:rPr>
            </w:pPr>
            <w:r>
              <w:rPr>
                <w:rFonts w:ascii="Arial" w:cs="Arial" w:eastAsia="Arial" w:hAnsi="Arial"/>
                <w:sz w:val="14"/>
                <w:szCs w:val="14"/>
                <w:color w:val="auto"/>
              </w:rPr>
              <w:t>Indiana, PA</w:t>
            </w:r>
          </w:p>
        </w:tc>
      </w:tr>
      <w:tr>
        <w:trPr>
          <w:trHeight w:val="230"/>
        </w:trPr>
        <w:tc>
          <w:tcPr>
            <w:tcW w:w="2740" w:type="dxa"/>
            <w:vAlign w:val="bottom"/>
          </w:tcPr>
          <w:p>
            <w:pPr>
              <w:spacing w:after="0"/>
              <w:rPr>
                <w:sz w:val="20"/>
                <w:szCs w:val="20"/>
                <w:color w:val="auto"/>
              </w:rPr>
            </w:pPr>
            <w:r>
              <w:rPr>
                <w:rFonts w:ascii="Arial" w:cs="Arial" w:eastAsia="Arial" w:hAnsi="Arial"/>
                <w:sz w:val="14"/>
                <w:szCs w:val="14"/>
                <w:color w:val="auto"/>
              </w:rPr>
              <w:t>F.N.B. Corporation</w:t>
            </w:r>
          </w:p>
        </w:tc>
        <w:tc>
          <w:tcPr>
            <w:tcW w:w="1340" w:type="dxa"/>
            <w:vAlign w:val="bottom"/>
          </w:tcPr>
          <w:p>
            <w:pPr>
              <w:ind w:left="220"/>
              <w:spacing w:after="0"/>
              <w:rPr>
                <w:sz w:val="20"/>
                <w:szCs w:val="20"/>
                <w:color w:val="auto"/>
              </w:rPr>
            </w:pPr>
            <w:r>
              <w:rPr>
                <w:rFonts w:ascii="Arial" w:cs="Arial" w:eastAsia="Arial" w:hAnsi="Arial"/>
                <w:sz w:val="14"/>
                <w:szCs w:val="14"/>
                <w:color w:val="auto"/>
              </w:rPr>
              <w:t>Hermitage, PA</w:t>
            </w:r>
          </w:p>
        </w:tc>
        <w:tc>
          <w:tcPr>
            <w:tcW w:w="2860" w:type="dxa"/>
            <w:vAlign w:val="bottom"/>
          </w:tcPr>
          <w:p>
            <w:pPr>
              <w:ind w:left="120"/>
              <w:spacing w:after="0"/>
              <w:rPr>
                <w:sz w:val="20"/>
                <w:szCs w:val="20"/>
                <w:color w:val="auto"/>
              </w:rPr>
            </w:pPr>
            <w:r>
              <w:rPr>
                <w:rFonts w:ascii="Arial" w:cs="Arial" w:eastAsia="Arial" w:hAnsi="Arial"/>
                <w:sz w:val="14"/>
                <w:szCs w:val="14"/>
                <w:color w:val="auto"/>
              </w:rPr>
              <w:t>TowneBank</w:t>
            </w:r>
          </w:p>
        </w:tc>
        <w:tc>
          <w:tcPr>
            <w:tcW w:w="1140" w:type="dxa"/>
            <w:vAlign w:val="bottom"/>
          </w:tcPr>
          <w:p>
            <w:pPr>
              <w:ind w:left="200"/>
              <w:spacing w:after="0"/>
              <w:rPr>
                <w:sz w:val="20"/>
                <w:szCs w:val="20"/>
                <w:color w:val="auto"/>
              </w:rPr>
            </w:pPr>
            <w:r>
              <w:rPr>
                <w:rFonts w:ascii="Arial" w:cs="Arial" w:eastAsia="Arial" w:hAnsi="Arial"/>
                <w:sz w:val="14"/>
                <w:szCs w:val="14"/>
                <w:color w:val="auto"/>
                <w:w w:val="93"/>
              </w:rPr>
              <w:t>Portsmouth, VA</w:t>
            </w:r>
          </w:p>
        </w:tc>
      </w:tr>
      <w:tr>
        <w:trPr>
          <w:trHeight w:val="230"/>
        </w:trPr>
        <w:tc>
          <w:tcPr>
            <w:tcW w:w="2740" w:type="dxa"/>
            <w:vAlign w:val="bottom"/>
          </w:tcPr>
          <w:p>
            <w:pPr>
              <w:spacing w:after="0"/>
              <w:rPr>
                <w:sz w:val="20"/>
                <w:szCs w:val="20"/>
                <w:color w:val="auto"/>
              </w:rPr>
            </w:pPr>
            <w:r>
              <w:rPr>
                <w:rFonts w:ascii="Arial" w:cs="Arial" w:eastAsia="Arial" w:hAnsi="Arial"/>
                <w:sz w:val="14"/>
                <w:szCs w:val="14"/>
                <w:color w:val="auto"/>
              </w:rPr>
              <w:t>First Commonwealth Financial Corporation</w:t>
            </w:r>
          </w:p>
        </w:tc>
        <w:tc>
          <w:tcPr>
            <w:tcW w:w="1340" w:type="dxa"/>
            <w:vAlign w:val="bottom"/>
          </w:tcPr>
          <w:p>
            <w:pPr>
              <w:ind w:left="220"/>
              <w:spacing w:after="0"/>
              <w:rPr>
                <w:sz w:val="20"/>
                <w:szCs w:val="20"/>
                <w:color w:val="auto"/>
              </w:rPr>
            </w:pPr>
            <w:r>
              <w:rPr>
                <w:rFonts w:ascii="Arial" w:cs="Arial" w:eastAsia="Arial" w:hAnsi="Arial"/>
                <w:sz w:val="14"/>
                <w:szCs w:val="14"/>
                <w:color w:val="auto"/>
              </w:rPr>
              <w:t>Indiana, PA</w:t>
            </w:r>
          </w:p>
        </w:tc>
        <w:tc>
          <w:tcPr>
            <w:tcW w:w="2860" w:type="dxa"/>
            <w:vAlign w:val="bottom"/>
          </w:tcPr>
          <w:p>
            <w:pPr>
              <w:ind w:left="120"/>
              <w:spacing w:after="0"/>
              <w:rPr>
                <w:sz w:val="20"/>
                <w:szCs w:val="20"/>
                <w:color w:val="auto"/>
              </w:rPr>
            </w:pPr>
            <w:r>
              <w:rPr>
                <w:rFonts w:ascii="Arial" w:cs="Arial" w:eastAsia="Arial" w:hAnsi="Arial"/>
                <w:sz w:val="14"/>
                <w:szCs w:val="14"/>
                <w:color w:val="auto"/>
              </w:rPr>
              <w:t>Trustmark Corporation</w:t>
            </w:r>
          </w:p>
        </w:tc>
        <w:tc>
          <w:tcPr>
            <w:tcW w:w="1140" w:type="dxa"/>
            <w:vAlign w:val="bottom"/>
          </w:tcPr>
          <w:p>
            <w:pPr>
              <w:ind w:left="200"/>
              <w:spacing w:after="0"/>
              <w:rPr>
                <w:sz w:val="20"/>
                <w:szCs w:val="20"/>
                <w:color w:val="auto"/>
              </w:rPr>
            </w:pPr>
            <w:r>
              <w:rPr>
                <w:rFonts w:ascii="Arial" w:cs="Arial" w:eastAsia="Arial" w:hAnsi="Arial"/>
                <w:sz w:val="14"/>
                <w:szCs w:val="14"/>
                <w:color w:val="auto"/>
              </w:rPr>
              <w:t>Jackson, MS</w:t>
            </w:r>
          </w:p>
        </w:tc>
      </w:tr>
      <w:tr>
        <w:trPr>
          <w:trHeight w:val="230"/>
        </w:trPr>
        <w:tc>
          <w:tcPr>
            <w:tcW w:w="2740" w:type="dxa"/>
            <w:vAlign w:val="bottom"/>
          </w:tcPr>
          <w:p>
            <w:pPr>
              <w:spacing w:after="0"/>
              <w:rPr>
                <w:sz w:val="20"/>
                <w:szCs w:val="20"/>
                <w:color w:val="auto"/>
              </w:rPr>
            </w:pPr>
            <w:r>
              <w:rPr>
                <w:rFonts w:ascii="Arial" w:cs="Arial" w:eastAsia="Arial" w:hAnsi="Arial"/>
                <w:sz w:val="14"/>
                <w:szCs w:val="14"/>
                <w:color w:val="auto"/>
              </w:rPr>
              <w:t>First Financial Holdings, Inc.</w:t>
            </w:r>
          </w:p>
        </w:tc>
        <w:tc>
          <w:tcPr>
            <w:tcW w:w="1340" w:type="dxa"/>
            <w:vAlign w:val="bottom"/>
          </w:tcPr>
          <w:p>
            <w:pPr>
              <w:ind w:left="220"/>
              <w:spacing w:after="0"/>
              <w:rPr>
                <w:sz w:val="20"/>
                <w:szCs w:val="20"/>
                <w:color w:val="auto"/>
              </w:rPr>
            </w:pPr>
            <w:r>
              <w:rPr>
                <w:rFonts w:ascii="Arial" w:cs="Arial" w:eastAsia="Arial" w:hAnsi="Arial"/>
                <w:sz w:val="14"/>
                <w:szCs w:val="14"/>
                <w:color w:val="auto"/>
              </w:rPr>
              <w:t>Columbia, SC</w:t>
            </w:r>
          </w:p>
        </w:tc>
        <w:tc>
          <w:tcPr>
            <w:tcW w:w="2860" w:type="dxa"/>
            <w:vAlign w:val="bottom"/>
          </w:tcPr>
          <w:p>
            <w:pPr>
              <w:ind w:left="120"/>
              <w:spacing w:after="0"/>
              <w:rPr>
                <w:sz w:val="20"/>
                <w:szCs w:val="20"/>
                <w:color w:val="auto"/>
              </w:rPr>
            </w:pPr>
            <w:r>
              <w:rPr>
                <w:rFonts w:ascii="Arial" w:cs="Arial" w:eastAsia="Arial" w:hAnsi="Arial"/>
                <w:sz w:val="14"/>
                <w:szCs w:val="14"/>
                <w:color w:val="auto"/>
              </w:rPr>
              <w:t>Union First Market Bankshares Corporation</w:t>
            </w:r>
          </w:p>
        </w:tc>
        <w:tc>
          <w:tcPr>
            <w:tcW w:w="1140" w:type="dxa"/>
            <w:vAlign w:val="bottom"/>
          </w:tcPr>
          <w:p>
            <w:pPr>
              <w:ind w:left="200"/>
              <w:spacing w:after="0"/>
              <w:rPr>
                <w:sz w:val="20"/>
                <w:szCs w:val="20"/>
                <w:color w:val="auto"/>
              </w:rPr>
            </w:pPr>
            <w:r>
              <w:rPr>
                <w:rFonts w:ascii="Arial" w:cs="Arial" w:eastAsia="Arial" w:hAnsi="Arial"/>
                <w:sz w:val="14"/>
                <w:szCs w:val="14"/>
                <w:color w:val="auto"/>
              </w:rPr>
              <w:t>Richmond, VA</w:t>
            </w:r>
          </w:p>
        </w:tc>
      </w:tr>
      <w:tr>
        <w:trPr>
          <w:trHeight w:val="243"/>
        </w:trPr>
        <w:tc>
          <w:tcPr>
            <w:tcW w:w="2740" w:type="dxa"/>
            <w:vAlign w:val="bottom"/>
          </w:tcPr>
          <w:p>
            <w:pPr>
              <w:spacing w:after="0"/>
              <w:rPr>
                <w:sz w:val="20"/>
                <w:szCs w:val="20"/>
                <w:color w:val="auto"/>
              </w:rPr>
            </w:pPr>
            <w:r>
              <w:rPr>
                <w:rFonts w:ascii="Arial" w:cs="Arial" w:eastAsia="Arial" w:hAnsi="Arial"/>
                <w:sz w:val="14"/>
                <w:szCs w:val="14"/>
                <w:color w:val="auto"/>
              </w:rPr>
              <w:t>IBERIABANK Corporation</w:t>
            </w:r>
          </w:p>
        </w:tc>
        <w:tc>
          <w:tcPr>
            <w:tcW w:w="1340" w:type="dxa"/>
            <w:vAlign w:val="bottom"/>
          </w:tcPr>
          <w:p>
            <w:pPr>
              <w:ind w:left="220"/>
              <w:spacing w:after="0"/>
              <w:rPr>
                <w:sz w:val="20"/>
                <w:szCs w:val="20"/>
                <w:color w:val="auto"/>
              </w:rPr>
            </w:pPr>
            <w:r>
              <w:rPr>
                <w:rFonts w:ascii="Arial" w:cs="Arial" w:eastAsia="Arial" w:hAnsi="Arial"/>
                <w:sz w:val="14"/>
                <w:szCs w:val="14"/>
                <w:color w:val="auto"/>
              </w:rPr>
              <w:t>Lafayette, LA</w:t>
            </w:r>
          </w:p>
        </w:tc>
        <w:tc>
          <w:tcPr>
            <w:tcW w:w="2860" w:type="dxa"/>
            <w:vAlign w:val="bottom"/>
          </w:tcPr>
          <w:p>
            <w:pPr>
              <w:ind w:left="120"/>
              <w:spacing w:after="0"/>
              <w:rPr>
                <w:sz w:val="20"/>
                <w:szCs w:val="20"/>
                <w:color w:val="auto"/>
              </w:rPr>
            </w:pPr>
            <w:r>
              <w:rPr>
                <w:rFonts w:ascii="Arial" w:cs="Arial" w:eastAsia="Arial" w:hAnsi="Arial"/>
                <w:sz w:val="14"/>
                <w:szCs w:val="14"/>
                <w:color w:val="auto"/>
              </w:rPr>
              <w:t>United Bankshares, Inc.</w:t>
            </w:r>
          </w:p>
        </w:tc>
        <w:tc>
          <w:tcPr>
            <w:tcW w:w="1140" w:type="dxa"/>
            <w:vAlign w:val="bottom"/>
          </w:tcPr>
          <w:p>
            <w:pPr>
              <w:ind w:left="200"/>
              <w:spacing w:after="0"/>
              <w:rPr>
                <w:sz w:val="20"/>
                <w:szCs w:val="20"/>
                <w:color w:val="auto"/>
              </w:rPr>
            </w:pPr>
            <w:r>
              <w:rPr>
                <w:rFonts w:ascii="Arial" w:cs="Arial" w:eastAsia="Arial" w:hAnsi="Arial"/>
                <w:sz w:val="14"/>
                <w:szCs w:val="14"/>
                <w:color w:val="auto"/>
                <w:w w:val="93"/>
              </w:rPr>
              <w:t>Charleston, WV</w:t>
            </w:r>
          </w:p>
        </w:tc>
      </w:tr>
      <w:tr>
        <w:trPr>
          <w:trHeight w:val="243"/>
        </w:trPr>
        <w:tc>
          <w:tcPr>
            <w:tcW w:w="2740" w:type="dxa"/>
            <w:vAlign w:val="bottom"/>
          </w:tcPr>
          <w:p>
            <w:pPr>
              <w:spacing w:after="0"/>
              <w:rPr>
                <w:sz w:val="20"/>
                <w:szCs w:val="20"/>
                <w:color w:val="auto"/>
              </w:rPr>
            </w:pPr>
            <w:r>
              <w:rPr>
                <w:rFonts w:ascii="Arial" w:cs="Arial" w:eastAsia="Arial" w:hAnsi="Arial"/>
                <w:sz w:val="14"/>
                <w:szCs w:val="14"/>
                <w:color w:val="auto"/>
              </w:rPr>
              <w:t>National Penn Bancshares, Inc.</w:t>
            </w:r>
          </w:p>
        </w:tc>
        <w:tc>
          <w:tcPr>
            <w:tcW w:w="1340" w:type="dxa"/>
            <w:vAlign w:val="bottom"/>
          </w:tcPr>
          <w:p>
            <w:pPr>
              <w:ind w:left="220"/>
              <w:spacing w:after="0"/>
              <w:rPr>
                <w:sz w:val="20"/>
                <w:szCs w:val="20"/>
                <w:color w:val="auto"/>
              </w:rPr>
            </w:pPr>
            <w:r>
              <w:rPr>
                <w:rFonts w:ascii="Arial" w:cs="Arial" w:eastAsia="Arial" w:hAnsi="Arial"/>
                <w:sz w:val="14"/>
                <w:szCs w:val="14"/>
                <w:color w:val="auto"/>
              </w:rPr>
              <w:t>Boyertown, PA</w:t>
            </w:r>
          </w:p>
        </w:tc>
        <w:tc>
          <w:tcPr>
            <w:tcW w:w="2860" w:type="dxa"/>
            <w:vAlign w:val="bottom"/>
          </w:tcPr>
          <w:p>
            <w:pPr>
              <w:ind w:left="120"/>
              <w:spacing w:after="0"/>
              <w:rPr>
                <w:sz w:val="20"/>
                <w:szCs w:val="20"/>
                <w:color w:val="auto"/>
              </w:rPr>
            </w:pPr>
            <w:r>
              <w:rPr>
                <w:rFonts w:ascii="Arial" w:cs="Arial" w:eastAsia="Arial" w:hAnsi="Arial"/>
                <w:sz w:val="14"/>
                <w:szCs w:val="14"/>
                <w:color w:val="auto"/>
              </w:rPr>
              <w:t>WesBanco, Inc.</w:t>
            </w:r>
          </w:p>
        </w:tc>
        <w:tc>
          <w:tcPr>
            <w:tcW w:w="1140" w:type="dxa"/>
            <w:vAlign w:val="bottom"/>
          </w:tcPr>
          <w:p>
            <w:pPr>
              <w:ind w:left="200"/>
              <w:spacing w:after="0"/>
              <w:rPr>
                <w:sz w:val="20"/>
                <w:szCs w:val="20"/>
                <w:color w:val="auto"/>
              </w:rPr>
            </w:pPr>
            <w:r>
              <w:rPr>
                <w:rFonts w:ascii="Arial" w:cs="Arial" w:eastAsia="Arial" w:hAnsi="Arial"/>
                <w:sz w:val="14"/>
                <w:szCs w:val="14"/>
                <w:color w:val="auto"/>
              </w:rPr>
              <w:t>Wheeling, WV</w:t>
            </w:r>
          </w:p>
        </w:tc>
      </w:tr>
    </w:tbl>
    <w:p>
      <w:pPr>
        <w:spacing w:after="0" w:line="11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Compensation Committee also compared United’s executive compensation to published executive compensation surveys compiled with the assistance of Pearl Meyer. Based on its analysis of this information and advice received from Pearl Meyer, the Compensation Committee implemented a long-term equity incentive award plan and made a number of changes to the overall level and compensation mix of its Named Executive Officers that was discussed in United’s 2014 Proxy Statement and below.</w:t>
      </w:r>
    </w:p>
    <w:p>
      <w:pPr>
        <w:spacing w:after="0" w:line="5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 xml:space="preserve">No Compensation Committee member has been an officer or employee of United, and the Board has considered and determined that all of the members are independent as defined under the Nasdaq listing requirements. Several members of the Compensation Committee have a significant percentage of their net worth invested in shares of United and all members have interests aligned with the interests of other shareholders. The Compensation Committee Charter is available in the corporate governance section of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7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Compensation for each Named Executive Officer is allocated among annual base salary, annual non-equity incentive awards and long-term equity incentive awards.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46"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Based on the foregoing, the Compensation Committee has established targeted overall compensation for each senior executive officer and the allocation of such compensation among annual base salary, annual non-equity incentive awards and long-term equity incentive awards. The following table outlines our long-term targeted compensation mix as a percentage of total compensation:</w:t>
      </w:r>
    </w:p>
    <w:p>
      <w:pPr>
        <w:spacing w:after="0" w:line="11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Performance-Based</w:t>
            </w:r>
          </w:p>
        </w:tc>
      </w:tr>
      <w:tr>
        <w:trPr>
          <w:trHeight w:val="186"/>
        </w:trPr>
        <w:tc>
          <w:tcPr>
            <w:tcW w:w="3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Compensation Elements</w:t>
            </w:r>
          </w:p>
        </w:tc>
      </w:tr>
      <w:tr>
        <w:trPr>
          <w:trHeight w:val="26"/>
        </w:trPr>
        <w:tc>
          <w:tcPr>
            <w:tcW w:w="3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3"/>
        </w:trPr>
        <w:tc>
          <w:tcPr>
            <w:tcW w:w="39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Annual Base</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Annual Non-Equity</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5"/>
              </w:rPr>
              <w:t>Long-Term Equity</w:t>
            </w:r>
          </w:p>
        </w:tc>
      </w:tr>
      <w:tr>
        <w:trPr>
          <w:trHeight w:val="186"/>
        </w:trPr>
        <w:tc>
          <w:tcPr>
            <w:tcW w:w="39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Incentive</w:t>
            </w:r>
          </w:p>
        </w:tc>
        <w:tc>
          <w:tcPr>
            <w:tcW w:w="1180" w:type="dxa"/>
            <w:vAlign w:val="bottom"/>
          </w:tcPr>
          <w:p>
            <w:pPr>
              <w:jc w:val="right"/>
              <w:ind w:right="219"/>
              <w:spacing w:after="0"/>
              <w:rPr>
                <w:sz w:val="20"/>
                <w:szCs w:val="20"/>
                <w:color w:val="auto"/>
              </w:rPr>
            </w:pPr>
            <w:r>
              <w:rPr>
                <w:rFonts w:ascii="Arial" w:cs="Arial" w:eastAsia="Arial" w:hAnsi="Arial"/>
                <w:sz w:val="14"/>
                <w:szCs w:val="14"/>
                <w:b w:val="1"/>
                <w:bCs w:val="1"/>
                <w:color w:val="auto"/>
              </w:rPr>
              <w:t>Incentive</w:t>
            </w:r>
          </w:p>
        </w:tc>
      </w:tr>
      <w:tr>
        <w:trPr>
          <w:trHeight w:val="26"/>
        </w:trPr>
        <w:tc>
          <w:tcPr>
            <w:tcW w:w="3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40%</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2"/>
                <w:szCs w:val="22"/>
                <w:color w:val="auto"/>
              </w:rPr>
            </w:pPr>
          </w:p>
        </w:tc>
        <w:tc>
          <w:tcPr>
            <w:tcW w:w="1220" w:type="dxa"/>
            <w:vAlign w:val="bottom"/>
          </w:tcPr>
          <w:p>
            <w:pPr>
              <w:jc w:val="right"/>
              <w:ind w:right="302"/>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2"/>
                <w:szCs w:val="22"/>
                <w:color w:val="auto"/>
              </w:rPr>
            </w:pPr>
          </w:p>
        </w:tc>
        <w:tc>
          <w:tcPr>
            <w:tcW w:w="1180" w:type="dxa"/>
            <w:vAlign w:val="bottom"/>
          </w:tcPr>
          <w:p>
            <w:pPr>
              <w:jc w:val="right"/>
              <w:ind w:right="279"/>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-334010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-334010</wp:posOffset>
            </wp:positionV>
            <wp:extent cx="3104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United strives to provide its Named Executive Officers with a level of assured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the form of annual cash base salary that is competitive with companies in the financial services industry and companies that are comparable in size and performance.</w:t>
      </w:r>
    </w:p>
    <w:p>
      <w:pPr>
        <w:sectPr>
          <w:pgSz w:w="11900" w:h="16838" w:orient="portrait"/>
          <w:cols w:equalWidth="0" w:num="1">
            <w:col w:w="10219"/>
          </w:cols>
          <w:pgMar w:left="240" w:top="131" w:right="1440" w:bottom="1440" w:gutter="0" w:footer="0" w:header="0"/>
        </w:sectPr>
      </w:pP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The Compensation Committee also considers each officer’s tenure and experience in his or her respective position and internal comparability considerations.</w:t>
      </w:r>
    </w:p>
    <w:p>
      <w:pPr>
        <w:spacing w:after="0" w:line="80"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During 2014, United kept all of its Named Executive Officers’ annual base salary at 2013 levels. Mr. Tallent’s annual base salary remained at $600,000 and Mr. Harton’s annual base salary remained at $475,000, which aligned them with the median annual base salaries paid to chief executive officers and presidents of the Peer Group. Messrs. Schuette and Shearrow’s annual base salaries remained at $375,000 to align them with the median range of annual base salaries paid to chief financial officers and chief risk officers of the Peer Group. United also kept Mr. Gilbert’s annual base salary at $275,000 to make it consistent with the median annual base salary paid to Peer Group heads of community banking.</w:t>
      </w:r>
    </w:p>
    <w:p>
      <w:pPr>
        <w:spacing w:after="0" w:line="70"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b w:val="1"/>
          <w:bCs w:val="1"/>
          <w:i w:val="1"/>
          <w:iCs w:val="1"/>
          <w:color w:val="auto"/>
        </w:rPr>
        <w:t xml:space="preserve">Non-Equity Incentive Awards. </w:t>
      </w:r>
      <w:r>
        <w:rPr>
          <w:rFonts w:ascii="Arial" w:cs="Arial" w:eastAsia="Arial" w:hAnsi="Arial"/>
          <w:sz w:val="16"/>
          <w:szCs w:val="16"/>
          <w:color w:val="auto"/>
        </w:rPr>
        <w:t>The Compensation Committee believes that its senior management’s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should be linked directly to the achievement of specified financial and non-financial objectives. As a result, the Compensation Committee adopted, and the shareholders approved, the Management Incentive Plan in 2007. This “pay for performance” plan governs the level of non-equity incentive compensation that may be awarded by the Compensation Committee to the Named Executive Officers.</w:t>
      </w:r>
    </w:p>
    <w:p>
      <w:pPr>
        <w:spacing w:after="0" w:line="50"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Under the Management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Section 162(m) of the Internal Revenue Code of 1986. The Compensation Committee has discretion to modify awards so long as such modified awards are within the plan parameters.</w:t>
      </w:r>
    </w:p>
    <w:p>
      <w:pPr>
        <w:spacing w:after="0" w:line="8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The Compensation Committee typically establishes annual corporate performance thresholds and targets under the Management Incentive Plan based on our strategic objectives. At the end of each year, the actual performance for each of the financial metrics is then measured separately against its target. Corporate performance that meets the threshold level provides for a 50% payout. Above threshold performance will result in progressively increasing payment levels ranging from 50% to 100% of the target award. In order to qualify for an award based on such corporate performance, individual performance must also meet established expectations. Individual performance expectations for the Chief Executive Officer are determined with consideration of matters such as leadership of the senior management team, community involvement and presence, market expansion and enhancement, strategic planning and implementation, corporate governance, risk management, and ability to focus United on the long-term interests of our shareholders. For the other Named Executive Officers, individual performance expectations are determined with consideration of matters such as leadership, strategic planning, and achievement of business unit operational and production goals and the Compensation Committee considers the Chief Executive Officer’s assessment of their performance.</w:t>
      </w:r>
    </w:p>
    <w:p>
      <w:pPr>
        <w:spacing w:after="0" w:line="6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Generally, the target level of payout for non-equity incentive compensation is set as a percent of base salary and ranges from 25% to 70% of the executive’s salary. For 2014, a performance target of return on assets of 85 basis points was established with a threshold award level of 65 basis points. United reported return on assets of 91 basis points for 2014, which was above the target level of performance and resulted in payouts of 100%. All of the Named Executive Officers were eligible to receive the award because, as described below, each officer also met goals that were set at the beginning of the year:</w:t>
      </w:r>
    </w:p>
    <w:p>
      <w:pPr>
        <w:spacing w:after="0" w:line="151" w:lineRule="exact"/>
        <w:rPr>
          <w:sz w:val="20"/>
          <w:szCs w:val="20"/>
          <w:color w:val="auto"/>
        </w:rPr>
      </w:pPr>
    </w:p>
    <w:p>
      <w:pPr>
        <w:jc w:val="both"/>
        <w:ind w:left="1980" w:right="759" w:hanging="352"/>
        <w:spacing w:after="0" w:line="255"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Tallent met the individual performance component due to his strong leadership of United as evidenced by our results, including increased profitability, improved credit quality and strong peer group performance. In addition, the Compensation Committee recognized his efforts in strengthening and expanding our brand within our markets, providing leadership for strategic initiatives such as the capital planning actions that allowed us to repay all of our preferred shares and acquiring key talent in order to position United for future success.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80" w:right="739" w:hanging="352"/>
        <w:spacing w:after="0" w:line="293" w:lineRule="auto"/>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Harton met the individual performance component due to his strong job performance, as well as his contributions to United’s overall success. This includes, most notably, his guidance regarding operational aspects of our business and leadership in executing strategic initiatives, such as our acquisition of Business Carolina, Inc., a specialty lending corporation headquartered in Columbia, South Carolina that specializes in SBA and USDA lending, and expansion into a number of specialized lending areas that collectively drove a significant portion of the $343 million of loan growth for 2014.</w:t>
      </w:r>
    </w:p>
    <w:p>
      <w:pPr>
        <w:spacing w:after="0" w:line="83" w:lineRule="exact"/>
        <w:rPr>
          <w:rFonts w:ascii="Arial" w:cs="Arial" w:eastAsia="Arial" w:hAnsi="Arial"/>
          <w:sz w:val="16"/>
          <w:szCs w:val="16"/>
          <w:color w:val="auto"/>
        </w:rPr>
      </w:pPr>
    </w:p>
    <w:p>
      <w:pPr>
        <w:jc w:val="both"/>
        <w:ind w:left="1980" w:right="739" w:hanging="352"/>
        <w:spacing w:after="0" w:line="273"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Schuette met the individual performance component due to his strong job performance, as well as his contributions to United’s overall success. This includes, most notably, his guidance regarding key financial aspects of our business including the capital planning actions that allowed United to repay all of our preferred shares, significant contributions in support of effective governance practices, leadership in executing strategic initiatives such as our acquisition of Business Carolina, Inc. and strong contribution to United’s investor relations efforts.</w:t>
      </w:r>
    </w:p>
    <w:p>
      <w:pPr>
        <w:spacing w:after="0" w:line="97" w:lineRule="exact"/>
        <w:rPr>
          <w:rFonts w:ascii="Arial" w:cs="Arial" w:eastAsia="Arial" w:hAnsi="Arial"/>
          <w:sz w:val="17"/>
          <w:szCs w:val="17"/>
          <w:color w:val="auto"/>
        </w:rPr>
      </w:pPr>
    </w:p>
    <w:p>
      <w:pPr>
        <w:jc w:val="both"/>
        <w:ind w:left="1980" w:right="759" w:hanging="352"/>
        <w:spacing w:after="0" w:line="255"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Shearrow met the individual performance component due to his strong job performance, as well as his contributions to United’s overall success. This includes, most notably, his guidance regarding credit-related underwriting and operational aspects of our business and leadership in executing strategic initiatives, such as centralized consumer credit underwriting and the reduction of our classified asset ratio below 25% and substantially lowering the risk associated with non-performing and other problem assets.</w:t>
      </w:r>
    </w:p>
    <w:p>
      <w:pPr>
        <w:spacing w:after="0" w:line="112" w:lineRule="exact"/>
        <w:rPr>
          <w:rFonts w:ascii="Arial" w:cs="Arial" w:eastAsia="Arial" w:hAnsi="Arial"/>
          <w:sz w:val="18"/>
          <w:szCs w:val="18"/>
          <w:color w:val="auto"/>
        </w:rPr>
      </w:pPr>
    </w:p>
    <w:p>
      <w:pPr>
        <w:jc w:val="both"/>
        <w:ind w:left="1980" w:right="759" w:hanging="352"/>
        <w:spacing w:after="0" w:line="302" w:lineRule="auto"/>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Gilbert met the individual performance component due to his strong job performance, as well as his contributions to United’s overall success. This includes, most notably, his implementation of improved business reporting, and leadership in executing strategic initiatives, such as the expansion of United’s retail lending products and the implementation of various deposit gathering programs.</w:t>
      </w:r>
    </w:p>
    <w:p>
      <w:pPr>
        <w:spacing w:after="0" w:line="46"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Based on the forgoing, the following non-equity incentive compensation awards were made under the Management Incentive Plan for 2014 : Mr. Tallent — $400,000; Mr. Harton — $300,000; Messrs. Schuette and Shearrow — $150,000; and, Mr. Gilbert — $75,000.</w:t>
      </w:r>
    </w:p>
    <w:p>
      <w:pPr>
        <w:spacing w:after="0" w:line="73"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Equity Incentive Awards. </w:t>
      </w:r>
      <w:r>
        <w:rPr>
          <w:rFonts w:ascii="Arial" w:cs="Arial" w:eastAsia="Arial" w:hAnsi="Arial"/>
          <w:sz w:val="17"/>
          <w:szCs w:val="17"/>
          <w:color w:val="auto"/>
        </w:rPr>
        <w:t>An important element of compensation in the banking industry is the provision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long-term incentives in the form of equity awards such as stock options, restricted stock, and restricted stock units. The Board and Compensation Committee also regard equity incentive awards as a key retention tool. These considerations are paramount in the Compensation Committee’s determination of the type of an award to grant and the number of underlying awards to be granted. Because of the direct relationship between the value of an option, restricted stock or restricted stock units and the market price of United’s Common Stock, the Compensation Committee believes that granting these equity incentive awards are the best method of motivating executive and other senior management to manage the company in a manner that is consistent with the long-term interests of United’s shareholders.</w:t>
      </w:r>
    </w:p>
    <w:p>
      <w:pPr>
        <w:spacing w:after="0" w:line="7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Although the Management Incentive Plan permits the issuance of options and restricted stock units, all of United’s equity incentive awards have been granted under the Equity Plan, which is a broad-based, shareholder approved plan covering Named Executive Officers, other members of senior management and other key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85"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Equity Plan does not permit the grant price for stock options to be reduced after the initial grant date. Participants may not exercise stock options, or receive restricted stock or restricted stock units until they vest. Because the exercise price of stock options is the fair market value of the underlying stock on the date of grant, participants do not realize any benefit from such stock options unless United’s stock price appreciates prior to their maturity.</w:t>
      </w:r>
    </w:p>
    <w:p>
      <w:pPr>
        <w:spacing w:after="0" w:line="80"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In August 2013, with the assistance of our outside compensation consultants, the Compensation Committee developed a long-term equity incentive award plan for the Named Executive Officers that is tied to annual performance targets and provides for incentive equity awards of 465,000 restricted stock units if target levels are achieved that will vest over a five-year period. A five-year period plan was selected, versus a</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shorter three-year period, for retention purposes and to better match with the time periods necessary to achieve United’s long-term strategic goal of building sustainable shareholder value. Because of its long term structure, the cost of the equity incentive award plan is being spread over the five years and these restricted stock units will serve as the primary long-term equity incentive awards for the Named Executive Officers for several years. The Compensation Committee does not expect to issue additional long-term equity incentive awards to the Named Executive Officers until 2016 or later.</w:t>
      </w:r>
    </w:p>
    <w:p>
      <w:pPr>
        <w:spacing w:after="0" w:line="85"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Under this five-year award plan, 70% of the restricted stock units awarded are performance-based and will vest annually through 2018 upon satisfaction of the performance criteria for the related performance period. If target levels of performance are met annually, 100% of the award will vest for that period and, if threshold level is met, 50% of the award for that period will vest for that period. Performance levels between threshold and target will vest ratable while performance below the threshold level will result in the forfeiture of that year’s award. In August 2013, due to these TARP-related restrictions and the importance of completing the accelerated classified asset sales and deferred tax valuation allowance recovery in the second quarter, an earnings per share performance target and threshold levels was established for the fourth quarter of 2013. The final equity incentive award available for 2013 was 12% of the total awards. The balance, 88% of the total award, was divided equally into four annual equity awards of 22% that were eligible to vest in January 2015, 2016, 2017 and 2018 to the extent that United’s return on average assets reaches specified threshold and target levels during the prior performance year. The maximum payout is equal to the target level, and if threshold performance level is not met then the equity award for that year is forfeited. The remaining 30% of the restricted stock units award for each period are time-based and will vest annually through 2018.</w:t>
      </w:r>
    </w:p>
    <w:p>
      <w:pPr>
        <w:spacing w:after="0" w:line="77"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7"/>
          <w:szCs w:val="17"/>
          <w:color w:val="auto"/>
        </w:rPr>
        <w:t>The Compensation Committee set the annual performance target level for 2014 at an 85 basis points return on average assets, which reflected the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level of performance for our selected Peer Group. This performance target challenged senior management but, if achieved, the Compensation Committee believed it would drive improved earnings and a higher stock price that would be beneficial to the executives and our shareholders. For 2014, United reported a 91 basis points return on assets, which was well above the target performance level. As a result, the 2014 incentive award for each Named Executive Officer vested in January 2015. The annual performance target levels for 2015 through 2017 have been set at a return on assets of 100 basis points and a threshold level of 80 basis points.</w:t>
      </w:r>
    </w:p>
    <w:p>
      <w:pPr>
        <w:spacing w:after="0" w:line="86" w:lineRule="exact"/>
        <w:rPr>
          <w:sz w:val="20"/>
          <w:szCs w:val="20"/>
          <w:color w:val="auto"/>
        </w:rPr>
      </w:pPr>
    </w:p>
    <w:p>
      <w:pPr>
        <w:jc w:val="both"/>
        <w:ind w:left="1260" w:right="739" w:firstLine="360"/>
        <w:spacing w:after="0"/>
        <w:rPr>
          <w:sz w:val="20"/>
          <w:szCs w:val="20"/>
          <w:color w:val="auto"/>
        </w:rPr>
      </w:pPr>
      <w:r>
        <w:rPr>
          <w:rFonts w:ascii="Arial" w:cs="Arial" w:eastAsia="Arial" w:hAnsi="Arial"/>
          <w:sz w:val="17"/>
          <w:szCs w:val="17"/>
          <w:color w:val="auto"/>
        </w:rPr>
        <w:t>The grant levels for the long-term equity incentive awards were established by considering competitive market data with an objective of providing grants that, if vested, when combined with other elements of compensation, would provide total compensation to our Named Executive Officers between the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for the Peer Group. Because all of the restricted stock unit awards are forfeited if a Named Executive Officer terminates his employment voluntarily or is terminated with cause, the awards also give the Named Executive Officers an incentive to remain with United for a significant time period so they will have the opportunity to vest in the award. Additionally, the performance-based awards have multi-year financial targets to further align the performance of management with the interests of shareholders by tying their performance to goals that are designed to drive shareholder value.</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No options to acquire shares of Common Stock were awarded to the Named Executive Officers during 2014.</w:t>
      </w: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73"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the Modified Retirement Plan for certain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other key personnel. See the disclosure provided in “Executive Compensation — Pension Benefits” for a description of the material terms of the Modified Retirement Plan and disclosure of 2014 benefits provided to the Named Executive Officers under the Modified Retirement Plan.</w:t>
      </w:r>
    </w:p>
    <w:p>
      <w:pPr>
        <w:spacing w:after="0" w:line="6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annual benefits are calculated based on an officer’s seniority and position and generally range from 20% to 40% of base salaries. No changes were made to the retirement benefits of any of the Named Executive Officers in 2014.</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In addition, United maintains a nonqualified Deferred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senior 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2014 benefits provided to the Named Executive Officers under the Deferred Compensation Plan.</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United’s senior management has substantially contributed to the success of United, and the Board believes that it is important to protect them in the event of a termination without cause or in certain circumstances following a change in control. Further, it is Board’s belief that the interests of shareholders will be best served if the interests of senior management are aligned with the interests of United, and providing change in control benefits should reduce any reluctance of senior management to pursue potential change in control transactions that may be in the best interests of shareholders.</w:t>
      </w:r>
    </w:p>
    <w:p>
      <w:pPr>
        <w:spacing w:after="0" w:line="8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Restricted stock unit awards granted to the Named Executive Officers all have “double triggers” and accelerate in the event of an officer’s termination without cause or, following a Change in Control (as defined in the award agreements), if the executive terminates for Good Reason (as defined in the award agreements) or is terminated. The Compensation Committee believes such terms are standard for financial institution executives in the markets in which United operates. Generally, all or a portion of the stock options, restricted stock and restricted stock unit awards vest for United’s Named Executive Officers in the event of the officer’s death, disability, retirement or termination without cause or a termination by the officer for Good Reason. Otherwise, all options and restricted stock awards cease vesting upon termination of employment.</w:t>
      </w:r>
    </w:p>
    <w:p>
      <w:pPr>
        <w:spacing w:after="0" w:line="7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addition, United entered into an employment agreement with Mr. Harton when he joined United in 2012 that provides for a three-year term that will expire on September 13, 2015. The employment agreement generally provides that, if Mr. Harton is terminated at any time by United without Cause (as defined in the employment agreement), or Mr. Harton terminates his employment with United for Good Reason (as defined in the employment agreement), Mr. Harton will receive an amount equal to two times his annual base salary. The Compensation Committee has established these amounts to be paid to Mr. Harton to be consistent with what the Compensation Committee believes is standard for financial institution executives in the markets in which United operates. The terms of Mr. Harton’s employment agreement are described in more detail in “Executive Compensation — Agreements with Executive Officers and Post-Employment Compensation.”</w:t>
      </w:r>
    </w:p>
    <w:p>
      <w:pPr>
        <w:spacing w:after="0" w:line="7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Each of United’s Named Executive Officers has also entered into a change in control severance agreement with the company, the terms of which are described in “Executive Compensation — Agreements with Executive Officers and Post-Employment Compensation.” The Compensation Committee has established the payment and benefit levels to be paid to the Named Executive Officers in the event of their termination following a change in control (i.e., a “double trigger”) under these agreements consistent with what the Compensation Committee believes is standard for financial institution executives in the markets in which United operates. The Compensation Committee believes that these potential benefits would be minor relative to the substantial transaction value for United’s shareholders.</w:t>
      </w:r>
    </w:p>
    <w:p>
      <w:pPr>
        <w:spacing w:after="0" w:line="71"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None of the severance agreements described above provide for the payment of any taxes or a gross-up of payments to pay any taxes in the event any of the compensation or benefits were considered to be an “excess severance payment” under Section 280G of the Internal Revenue Code.</w:t>
      </w:r>
    </w:p>
    <w:p>
      <w:pPr>
        <w:spacing w:after="0" w:line="73"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March 2015, all of the severance agreements, other than the severance agreement with Mr. Shearrow who retired as of January 31, 2015, were amended to add a “best after-tax” provision. As a result, the executive will receive the full payment provided under the agreement and has the responsibility for any excise tax, or such payment is reduced or modified so that it will not be considered an “excess severance payment” under Section 280G of the Internal Revenue Code, whichever will put the executive in the best after-tax position with the most compensation and income. These amendments were put into place in order to more closely match the actual payments made to the executives to the payment amounts contemplated in the severance agreements. We believe these amendments align management to the best interests of</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shareholders in the event of a change in control transaction. We do not believe any potential additional cost as a result of these amendments would be meaningful in connection with a change in control transaction. No amendments have been made to any other agreements with the Named Executive Officers, including the employment agreement with Mr. Harton.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perquisites provided to United’s Named Executive Officers in 2014 were the use of a company-owned car or a car allowance and the payment of the dues for club memberships that are not used exclusively for business purposes. These personal benefits are generally provided to similarly-situated financial institution executives in the company’s market areas, and the Compensation Committee believes it is appropriate to award United’s Named Executive Officers with similar benefits.</w:t>
      </w:r>
    </w:p>
    <w:p>
      <w:pPr>
        <w:spacing w:after="0" w:line="8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United’s Named Executive Officers also participate in company-wide contributions to the 401(k) Plan (as defined herein) and receive other benefits on the same terms as other employees, which plans include medical, dental and life insurance. United provides matching contributions under the 401(k) Plan of up to 5% of the bonus contributions to the Deferred Compensation Plan. United matched employee contributions equal to 50% of employee contributions up to 5% of qualifying compensation.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 Analysis</w:t>
      </w:r>
    </w:p>
    <w:p>
      <w:pPr>
        <w:spacing w:after="0" w:line="108"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SEC requires that the Compensation Committee annually review United’s compensation arrangements with the members of management responsible for risk management for all employees to determine if any such arrangements create risks that are reasonably likely to have a material adverse effect on United. The Compensation Committee also considers whether they encourage excessive or unnecessary risk-taking by our Named Executive Officers. As part of its review, the Compensation Committee considers the various risks to which United is subject, including market, liquidity, interest rate, operational, financial, credit, reputational, compliance and strategic risks, and how United’s incentive compensation programs may contribute to risk. The Compensation Committee also considers United’s controls and actions taken to mitigate and monitor those risks.</w:t>
      </w:r>
    </w:p>
    <w:p>
      <w:pPr>
        <w:spacing w:after="0" w:line="5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Following the completion of a detailed analysis, the Compensation Committee concluded that all incentive plans appropriately balance risk and reward, and align employee interests with shareholders based on the following observations:</w:t>
      </w:r>
    </w:p>
    <w:p>
      <w:pPr>
        <w:spacing w:after="0" w:line="87" w:lineRule="exact"/>
        <w:rPr>
          <w:sz w:val="20"/>
          <w:szCs w:val="20"/>
          <w:color w:val="auto"/>
        </w:rPr>
      </w:pPr>
    </w:p>
    <w:p>
      <w:pPr>
        <w:jc w:val="both"/>
        <w:ind w:left="1980" w:right="759" w:hanging="352"/>
        <w:spacing w:after="0" w:line="255"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structure our pay to consist of both fixed (annual base salary) and variable compensation (annual non-equity and equity incentive awards and long-term equity incentive awards). We believe that the variable elements provide an appropriate percentage of overall compensation to motivate executives to focus on our performance, while the fixed element serves to provide an appropriate and fair compensation level that does not encourage executives to take unnecessary or excessive risks in achievement of goals.</w:t>
      </w:r>
    </w:p>
    <w:p>
      <w:pPr>
        <w:spacing w:after="0" w:line="85"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compensation program balances short-term and long-term performance, and does not place inappropriate focus on achieving short-term results at the risk of long-term, sustained performance.</w:t>
      </w:r>
    </w:p>
    <w:p>
      <w:pPr>
        <w:spacing w:after="0" w:line="38" w:lineRule="exact"/>
        <w:rPr>
          <w:rFonts w:ascii="Arial" w:cs="Arial" w:eastAsia="Arial" w:hAnsi="Arial"/>
          <w:sz w:val="17"/>
          <w:szCs w:val="17"/>
          <w:color w:val="auto"/>
        </w:rPr>
      </w:pPr>
    </w:p>
    <w:p>
      <w:pPr>
        <w:jc w:val="both"/>
        <w:ind w:left="1980" w:right="759" w:hanging="352"/>
        <w:spacing w:after="0" w:line="255"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incentive programs covering our Named Executive Officers, including the Management Incentive Plan and Equity Plan, are reviewed and approved by the Compensation Committee annually and typically include a threshold and target payment. The maximum payment is set at the target level of performance for the long-term equity incentive awards to ensure that payments do not exceed a certain level, keeping our compensation mix within acceptable ranges and limiting excessive payments under any one element.</w:t>
      </w:r>
    </w:p>
    <w:p>
      <w:pPr>
        <w:spacing w:after="0" w:line="8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United has internal controls over the measurement and calculation of these performance metrics, which are designed to prevent manipulation of results by any employee, including the executives. Additionally, the Board monitors the performance metrics each quarter.</w:t>
      </w:r>
    </w:p>
    <w:p>
      <w:pPr>
        <w:spacing w:after="0" w:line="86"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Compensation Committee has the discretion to modify any Management Incentive Plan payment, subject to the plan parameters, allowing it to consider the circumstances surrounding corporate and/or individual performance and adjust payments accordingly.</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80" w:right="759" w:hanging="352"/>
        <w:spacing w:after="0" w:line="259"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incentive programs covering our Named Executive Officers, including the Management Incentive Plan and Equity Plan, may be adjusted by the Compensation Committee if it determines that such programs incentivize unnecessary risk in a manner that is likely to have a material adverse effect on United or that is beyond what United can identify and manage.</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appropriate internal controls and oversight of the approval and processing of payments.</w:t>
      </w:r>
    </w:p>
    <w:p>
      <w:pPr>
        <w:spacing w:after="0" w:line="196" w:lineRule="exact"/>
        <w:rPr>
          <w:rFonts w:ascii="Arial" w:cs="Arial" w:eastAsia="Arial" w:hAnsi="Arial"/>
          <w:sz w:val="17"/>
          <w:szCs w:val="17"/>
          <w:color w:val="auto"/>
        </w:rPr>
      </w:pPr>
    </w:p>
    <w:p>
      <w:pPr>
        <w:jc w:val="both"/>
        <w:ind w:left="1980" w:right="759" w:hanging="352"/>
        <w:spacing w:after="0" w:line="264"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United’s existing governance and organizational structure incorporates a substantial risk management component with oversight by the Board’s Risk Committee as well as various committees of management.</w:t>
      </w:r>
    </w:p>
    <w:p>
      <w:pPr>
        <w:spacing w:after="0" w:line="154" w:lineRule="exact"/>
        <w:rPr>
          <w:rFonts w:ascii="Arial" w:cs="Arial" w:eastAsia="Arial" w:hAnsi="Arial"/>
          <w:sz w:val="18"/>
          <w:szCs w:val="18"/>
          <w:color w:val="auto"/>
        </w:rPr>
      </w:pPr>
    </w:p>
    <w:p>
      <w:pPr>
        <w:jc w:val="both"/>
        <w:ind w:left="1980" w:right="759" w:hanging="352"/>
        <w:spacing w:after="0" w:line="25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compensation consists of performance-based restricted stock units and time-based restricted stock units and stock options. These grants encourage executives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47" w:lineRule="exact"/>
        <w:rPr>
          <w:rFonts w:ascii="Arial" w:cs="Arial" w:eastAsia="Arial" w:hAnsi="Arial"/>
          <w:sz w:val="18"/>
          <w:szCs w:val="18"/>
          <w:color w:val="auto"/>
        </w:rPr>
      </w:pPr>
    </w:p>
    <w:p>
      <w:pPr>
        <w:jc w:val="both"/>
        <w:ind w:left="1980" w:right="759" w:hanging="352"/>
        <w:spacing w:after="0" w:line="276"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prior to being made and management has the ability to downwardly adjust bonus payments, including claw-back adjustments, based on the performance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0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1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SUMMARY COMPENSATION TABLE</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Pension Value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and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Non-Qualified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Deferred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6"/>
              </w:rPr>
              <w:t>Name &amp; Principal Position</w:t>
            </w:r>
          </w:p>
        </w:tc>
        <w:tc>
          <w:tcPr>
            <w:tcW w:w="6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240" w:type="dxa"/>
            <w:vAlign w:val="bottom"/>
            <w:gridSpan w:val="5"/>
          </w:tcPr>
          <w:p>
            <w:pPr>
              <w:ind w:left="20"/>
              <w:spacing w:after="0" w:line="216"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 xml:space="preserve">   Bonus</w:t>
            </w:r>
          </w:p>
        </w:tc>
        <w:tc>
          <w:tcPr>
            <w:tcW w:w="860" w:type="dxa"/>
            <w:vAlign w:val="bottom"/>
            <w:gridSpan w:val="2"/>
          </w:tcPr>
          <w:p>
            <w:pPr>
              <w:jc w:val="right"/>
              <w:ind w:right="240"/>
              <w:spacing w:after="0" w:line="216" w:lineRule="exact"/>
              <w:rPr>
                <w:sz w:val="20"/>
                <w:szCs w:val="20"/>
                <w:color w:val="auto"/>
              </w:rPr>
            </w:pPr>
            <w:r>
              <w:rPr>
                <w:rFonts w:ascii="Arial" w:cs="Arial" w:eastAsia="Arial" w:hAnsi="Arial"/>
                <w:sz w:val="14"/>
                <w:szCs w:val="14"/>
                <w:b w:val="1"/>
                <w:bCs w:val="1"/>
                <w:color w:val="auto"/>
                <w:w w:val="88"/>
              </w:rPr>
              <w:t>Awards</w:t>
            </w:r>
            <w:r>
              <w:rPr>
                <w:rFonts w:ascii="Arial" w:cs="Arial" w:eastAsia="Arial" w:hAnsi="Arial"/>
                <w:sz w:val="21"/>
                <w:szCs w:val="21"/>
                <w:b w:val="1"/>
                <w:bCs w:val="1"/>
                <w:color w:val="auto"/>
                <w:w w:val="88"/>
                <w:vertAlign w:val="superscript"/>
              </w:rPr>
              <w:t>(2)</w:t>
            </w:r>
          </w:p>
        </w:tc>
        <w:tc>
          <w:tcPr>
            <w:tcW w:w="740" w:type="dxa"/>
            <w:vAlign w:val="bottom"/>
            <w:gridSpan w:val="3"/>
          </w:tcPr>
          <w:p>
            <w:pPr>
              <w:jc w:val="center"/>
              <w:ind w:right="120"/>
              <w:spacing w:after="0" w:line="216"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21"/>
                <w:szCs w:val="21"/>
                <w:b w:val="1"/>
                <w:bCs w:val="1"/>
                <w:color w:val="auto"/>
                <w:w w:val="85"/>
                <w:vertAlign w:val="superscript"/>
              </w:rPr>
              <w:t>(2)</w:t>
            </w:r>
          </w:p>
        </w:tc>
        <w:tc>
          <w:tcPr>
            <w:tcW w:w="1160" w:type="dxa"/>
            <w:vAlign w:val="bottom"/>
            <w:gridSpan w:val="2"/>
          </w:tcPr>
          <w:p>
            <w:pPr>
              <w:jc w:val="center"/>
              <w:ind w:right="120"/>
              <w:spacing w:after="0" w:line="216" w:lineRule="exact"/>
              <w:rPr>
                <w:sz w:val="20"/>
                <w:szCs w:val="20"/>
                <w:color w:val="auto"/>
              </w:rPr>
            </w:pPr>
            <w:r>
              <w:rPr>
                <w:rFonts w:ascii="Arial" w:cs="Arial" w:eastAsia="Arial" w:hAnsi="Arial"/>
                <w:sz w:val="14"/>
                <w:szCs w:val="14"/>
                <w:b w:val="1"/>
                <w:bCs w:val="1"/>
                <w:color w:val="auto"/>
                <w:w w:val="87"/>
              </w:rPr>
              <w:t>Compensation</w:t>
            </w:r>
            <w:r>
              <w:rPr>
                <w:rFonts w:ascii="Arial" w:cs="Arial" w:eastAsia="Arial" w:hAnsi="Arial"/>
                <w:sz w:val="21"/>
                <w:szCs w:val="21"/>
                <w:b w:val="1"/>
                <w:bCs w:val="1"/>
                <w:color w:val="auto"/>
                <w:w w:val="87"/>
                <w:vertAlign w:val="superscript"/>
              </w:rPr>
              <w:t>(3)</w:t>
            </w:r>
          </w:p>
        </w:tc>
        <w:tc>
          <w:tcPr>
            <w:tcW w:w="1040" w:type="dxa"/>
            <w:vAlign w:val="bottom"/>
            <w:gridSpan w:val="2"/>
          </w:tcPr>
          <w:p>
            <w:pPr>
              <w:jc w:val="center"/>
              <w:ind w:right="120"/>
              <w:spacing w:after="0" w:line="216" w:lineRule="exact"/>
              <w:rPr>
                <w:sz w:val="20"/>
                <w:szCs w:val="20"/>
                <w:color w:val="auto"/>
              </w:rPr>
            </w:pPr>
            <w:r>
              <w:rPr>
                <w:rFonts w:ascii="Arial" w:cs="Arial" w:eastAsia="Arial" w:hAnsi="Arial"/>
                <w:sz w:val="14"/>
                <w:szCs w:val="14"/>
                <w:b w:val="1"/>
                <w:bCs w:val="1"/>
                <w:color w:val="auto"/>
                <w:w w:val="88"/>
              </w:rPr>
              <w:t>Earnings</w:t>
            </w:r>
            <w:r>
              <w:rPr>
                <w:rFonts w:ascii="Arial" w:cs="Arial" w:eastAsia="Arial" w:hAnsi="Arial"/>
                <w:sz w:val="21"/>
                <w:szCs w:val="21"/>
                <w:b w:val="1"/>
                <w:bCs w:val="1"/>
                <w:color w:val="auto"/>
                <w:w w:val="88"/>
                <w:vertAlign w:val="superscript"/>
              </w:rPr>
              <w:t>(4)</w:t>
            </w:r>
          </w:p>
        </w:tc>
        <w:tc>
          <w:tcPr>
            <w:tcW w:w="1160" w:type="dxa"/>
            <w:vAlign w:val="bottom"/>
            <w:gridSpan w:val="2"/>
          </w:tcPr>
          <w:p>
            <w:pPr>
              <w:jc w:val="center"/>
              <w:ind w:right="140"/>
              <w:spacing w:after="0" w:line="216"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21"/>
                <w:szCs w:val="21"/>
                <w:b w:val="1"/>
                <w:bCs w:val="1"/>
                <w:color w:val="auto"/>
                <w:w w:val="89"/>
                <w:vertAlign w:val="superscript"/>
              </w:rPr>
              <w:t>(5)</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159"/>
        </w:trPr>
        <w:tc>
          <w:tcPr>
            <w:tcW w:w="16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Jimmy C. Tallent</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w w:val="89"/>
              </w:rPr>
              <w:t>2014</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2"/>
              </w:rPr>
              <w:t>$600,000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ind w:left="12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128"/>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ind w:right="148"/>
              <w:spacing w:after="0" w:line="159" w:lineRule="exact"/>
              <w:rPr>
                <w:sz w:val="20"/>
                <w:szCs w:val="20"/>
                <w:color w:val="auto"/>
              </w:rPr>
            </w:pPr>
            <w:r>
              <w:rPr>
                <w:rFonts w:ascii="Arial" w:cs="Arial" w:eastAsia="Arial" w:hAnsi="Arial"/>
                <w:sz w:val="14"/>
                <w:szCs w:val="14"/>
                <w:color w:val="auto"/>
              </w:rPr>
              <w:t>$400,000</w:t>
            </w:r>
          </w:p>
        </w:tc>
        <w:tc>
          <w:tcPr>
            <w:tcW w:w="1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108"/>
              <w:spacing w:after="0" w:line="159" w:lineRule="exact"/>
              <w:rPr>
                <w:sz w:val="20"/>
                <w:szCs w:val="20"/>
                <w:color w:val="auto"/>
              </w:rPr>
            </w:pPr>
            <w:r>
              <w:rPr>
                <w:rFonts w:ascii="Arial" w:cs="Arial" w:eastAsia="Arial" w:hAnsi="Arial"/>
                <w:sz w:val="14"/>
                <w:szCs w:val="14"/>
                <w:color w:val="auto"/>
              </w:rPr>
              <w:t>$462,635</w:t>
            </w:r>
          </w:p>
        </w:tc>
        <w:tc>
          <w:tcPr>
            <w:tcW w:w="1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ind w:right="188"/>
              <w:spacing w:after="0" w:line="159" w:lineRule="exact"/>
              <w:rPr>
                <w:sz w:val="20"/>
                <w:szCs w:val="20"/>
                <w:color w:val="auto"/>
              </w:rPr>
            </w:pPr>
            <w:r>
              <w:rPr>
                <w:rFonts w:ascii="Arial" w:cs="Arial" w:eastAsia="Arial" w:hAnsi="Arial"/>
                <w:sz w:val="14"/>
                <w:szCs w:val="14"/>
                <w:color w:val="auto"/>
              </w:rPr>
              <w:t>$ 94,860</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$1,557,495</w:t>
            </w:r>
          </w:p>
        </w:tc>
        <w:tc>
          <w:tcPr>
            <w:tcW w:w="20" w:type="dxa"/>
            <w:vAlign w:val="bottom"/>
          </w:tcPr>
          <w:p>
            <w:pPr>
              <w:spacing w:after="0"/>
              <w:rPr>
                <w:sz w:val="13"/>
                <w:szCs w:val="13"/>
                <w:color w:val="auto"/>
              </w:rPr>
            </w:pPr>
          </w:p>
        </w:tc>
      </w:tr>
      <w:tr>
        <w:trPr>
          <w:trHeight w:val="207"/>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Chairman and Chief</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550,000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14"/>
                <w:szCs w:val="14"/>
                <w:color w:val="auto"/>
                <w:w w:val="89"/>
              </w:rPr>
              <w:t>2,574,000</w:t>
            </w:r>
            <w:r>
              <w:rPr>
                <w:rFonts w:ascii="Arial" w:cs="Arial" w:eastAsia="Arial" w:hAnsi="Arial"/>
                <w:sz w:val="21"/>
                <w:szCs w:val="21"/>
                <w:color w:val="auto"/>
                <w:w w:val="89"/>
                <w:vertAlign w:val="superscript"/>
              </w:rPr>
              <w:t>(6)(7)</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51,145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72,304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3,547,449</w:t>
            </w:r>
          </w:p>
        </w:tc>
        <w:tc>
          <w:tcPr>
            <w:tcW w:w="20" w:type="dxa"/>
            <w:vAlign w:val="bottom"/>
          </w:tcPr>
          <w:p>
            <w:pPr>
              <w:spacing w:after="0"/>
              <w:rPr>
                <w:sz w:val="18"/>
                <w:szCs w:val="18"/>
                <w:color w:val="auto"/>
              </w:rPr>
            </w:pPr>
          </w:p>
        </w:tc>
      </w:tr>
      <w:tr>
        <w:trPr>
          <w:trHeight w:val="208"/>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Executive Officer</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217,063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68,838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785,901</w:t>
            </w:r>
          </w:p>
        </w:tc>
        <w:tc>
          <w:tcPr>
            <w:tcW w:w="20" w:type="dxa"/>
            <w:vAlign w:val="bottom"/>
          </w:tcPr>
          <w:p>
            <w:pPr>
              <w:spacing w:after="0"/>
              <w:rPr>
                <w:sz w:val="18"/>
                <w:szCs w:val="18"/>
                <w:color w:val="auto"/>
              </w:rPr>
            </w:pPr>
          </w:p>
        </w:tc>
      </w:tr>
      <w:tr>
        <w:trPr>
          <w:trHeight w:val="274"/>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H. Lynn Harton</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2014</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475,000</w:t>
            </w:r>
          </w:p>
        </w:tc>
        <w:tc>
          <w:tcPr>
            <w:tcW w:w="160" w:type="dxa"/>
            <w:vAlign w:val="bottom"/>
          </w:tcPr>
          <w:p>
            <w:pPr>
              <w:spacing w:after="0"/>
              <w:rPr>
                <w:sz w:val="23"/>
                <w:szCs w:val="23"/>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127,716</w:t>
            </w:r>
          </w:p>
        </w:tc>
        <w:tc>
          <w:tcPr>
            <w:tcW w:w="14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51,468</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954,184</w:t>
            </w:r>
          </w:p>
        </w:tc>
      </w:tr>
      <w:tr>
        <w:trPr>
          <w:trHeight w:val="189"/>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President and Chief</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2013</w:t>
            </w:r>
          </w:p>
        </w:tc>
        <w:tc>
          <w:tcPr>
            <w:tcW w:w="7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475,000</w:t>
            </w:r>
            <w:r>
              <w:rPr>
                <w:rFonts w:ascii="Arial" w:cs="Arial" w:eastAsia="Arial" w:hAnsi="Arial"/>
                <w:sz w:val="21"/>
                <w:szCs w:val="21"/>
                <w:color w:val="auto"/>
                <w:vertAlign w:val="superscript"/>
              </w:rPr>
              <w:t>(8)</w:t>
            </w:r>
          </w:p>
        </w:tc>
        <w:tc>
          <w:tcPr>
            <w:tcW w:w="160" w:type="dxa"/>
            <w:vAlign w:val="bottom"/>
          </w:tcPr>
          <w:p>
            <w:pPr>
              <w:spacing w:after="0"/>
              <w:rPr>
                <w:sz w:val="16"/>
                <w:szCs w:val="16"/>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line="189" w:lineRule="exact"/>
              <w:rPr>
                <w:sz w:val="20"/>
                <w:szCs w:val="20"/>
                <w:color w:val="auto"/>
              </w:rPr>
            </w:pPr>
            <w:r>
              <w:rPr>
                <w:rFonts w:ascii="Arial" w:cs="Arial" w:eastAsia="Arial" w:hAnsi="Arial"/>
                <w:sz w:val="14"/>
                <w:szCs w:val="14"/>
                <w:color w:val="auto"/>
                <w:w w:val="86"/>
              </w:rPr>
              <w:t>3,183,990</w:t>
            </w:r>
            <w:r>
              <w:rPr>
                <w:rFonts w:ascii="Arial" w:cs="Arial" w:eastAsia="Arial" w:hAnsi="Arial"/>
                <w:sz w:val="21"/>
                <w:szCs w:val="21"/>
                <w:color w:val="auto"/>
                <w:w w:val="86"/>
                <w:vertAlign w:val="superscript"/>
              </w:rPr>
              <w:t>(6)(10)</w:t>
            </w: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54,113</w:t>
            </w:r>
          </w:p>
        </w:tc>
        <w:tc>
          <w:tcPr>
            <w:tcW w:w="14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35,675</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3,948,778</w:t>
            </w:r>
          </w:p>
        </w:tc>
      </w:tr>
      <w:tr>
        <w:trPr>
          <w:trHeight w:val="226"/>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Operating Officer</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2012</w:t>
            </w:r>
          </w:p>
        </w:tc>
        <w:tc>
          <w:tcPr>
            <w:tcW w:w="2100" w:type="dxa"/>
            <w:vAlign w:val="bottom"/>
            <w:gridSpan w:val="7"/>
          </w:tcPr>
          <w:p>
            <w:pPr>
              <w:jc w:val="right"/>
              <w:ind w:right="60"/>
              <w:spacing w:after="0" w:line="226" w:lineRule="exact"/>
              <w:rPr>
                <w:sz w:val="20"/>
                <w:szCs w:val="20"/>
                <w:color w:val="auto"/>
              </w:rPr>
            </w:pPr>
            <w:r>
              <w:rPr>
                <w:rFonts w:ascii="Arial" w:cs="Arial" w:eastAsia="Arial" w:hAnsi="Arial"/>
                <w:sz w:val="14"/>
                <w:szCs w:val="14"/>
                <w:color w:val="auto"/>
                <w:w w:val="90"/>
              </w:rPr>
              <w:t>142,200</w:t>
            </w:r>
            <w:r>
              <w:rPr>
                <w:rFonts w:ascii="Arial" w:cs="Arial" w:eastAsia="Arial" w:hAnsi="Arial"/>
                <w:sz w:val="21"/>
                <w:szCs w:val="21"/>
                <w:color w:val="auto"/>
                <w:w w:val="90"/>
                <w:vertAlign w:val="superscript"/>
              </w:rPr>
              <w:t>(8)</w:t>
            </w:r>
            <w:r>
              <w:rPr>
                <w:rFonts w:ascii="Arial" w:cs="Arial" w:eastAsia="Arial" w:hAnsi="Arial"/>
                <w:sz w:val="14"/>
                <w:szCs w:val="14"/>
                <w:color w:val="auto"/>
                <w:w w:val="90"/>
              </w:rPr>
              <w:t xml:space="preserve"> 50,000</w:t>
            </w:r>
            <w:r>
              <w:rPr>
                <w:rFonts w:ascii="Arial" w:cs="Arial" w:eastAsia="Arial" w:hAnsi="Arial"/>
                <w:sz w:val="21"/>
                <w:szCs w:val="21"/>
                <w:color w:val="auto"/>
                <w:w w:val="90"/>
                <w:vertAlign w:val="superscript"/>
              </w:rPr>
              <w:t>(9)</w:t>
            </w:r>
            <w:r>
              <w:rPr>
                <w:rFonts w:ascii="Arial" w:cs="Arial" w:eastAsia="Arial" w:hAnsi="Arial"/>
                <w:sz w:val="14"/>
                <w:szCs w:val="14"/>
                <w:color w:val="auto"/>
                <w:w w:val="90"/>
              </w:rPr>
              <w:t xml:space="preserve"> 1,297,500</w:t>
            </w:r>
            <w:r>
              <w:rPr>
                <w:rFonts w:ascii="Arial" w:cs="Arial" w:eastAsia="Arial" w:hAnsi="Arial"/>
                <w:sz w:val="21"/>
                <w:szCs w:val="21"/>
                <w:color w:val="auto"/>
                <w:w w:val="90"/>
                <w:vertAlign w:val="superscript"/>
              </w:rPr>
              <w:t>(10)</w:t>
            </w:r>
          </w:p>
        </w:tc>
        <w:tc>
          <w:tcPr>
            <w:tcW w:w="8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16,686</w:t>
            </w:r>
          </w:p>
        </w:tc>
        <w:tc>
          <w:tcPr>
            <w:tcW w:w="140" w:type="dxa"/>
            <w:vAlign w:val="bottom"/>
          </w:tcPr>
          <w:p>
            <w:pPr>
              <w:spacing w:after="0"/>
              <w:rPr>
                <w:sz w:val="19"/>
                <w:szCs w:val="19"/>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12,350</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1,518,736</w:t>
            </w:r>
          </w:p>
        </w:tc>
      </w:tr>
      <w:tr>
        <w:trPr>
          <w:trHeight w:val="274"/>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Rex S. Schuette</w:t>
            </w:r>
          </w:p>
        </w:tc>
        <w:tc>
          <w:tcPr>
            <w:tcW w:w="6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375,000</w:t>
            </w:r>
          </w:p>
        </w:tc>
        <w:tc>
          <w:tcPr>
            <w:tcW w:w="16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150,000</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258,791</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26,305</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810,096</w:t>
            </w:r>
          </w:p>
        </w:tc>
        <w:tc>
          <w:tcPr>
            <w:tcW w:w="20" w:type="dxa"/>
            <w:vAlign w:val="bottom"/>
          </w:tcPr>
          <w:p>
            <w:pPr>
              <w:spacing w:after="0"/>
              <w:rPr>
                <w:sz w:val="23"/>
                <w:szCs w:val="23"/>
                <w:color w:val="auto"/>
              </w:rPr>
            </w:pPr>
          </w:p>
        </w:tc>
      </w:tr>
      <w:tr>
        <w:trPr>
          <w:trHeight w:val="17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Executive Vice</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860" w:type="dxa"/>
            <w:vAlign w:val="bottom"/>
            <w:gridSpan w:val="3"/>
            <w:shd w:val="clear" w:color="auto" w:fill="CCEEFF"/>
          </w:tcPr>
          <w:p>
            <w:pPr>
              <w:jc w:val="right"/>
              <w:ind w:right="120"/>
              <w:spacing w:after="0" w:line="176" w:lineRule="exact"/>
              <w:rPr>
                <w:sz w:val="20"/>
                <w:szCs w:val="20"/>
                <w:color w:val="auto"/>
              </w:rPr>
            </w:pPr>
            <w:r>
              <w:rPr>
                <w:rFonts w:ascii="Arial" w:cs="Arial" w:eastAsia="Arial" w:hAnsi="Arial"/>
                <w:sz w:val="14"/>
                <w:szCs w:val="14"/>
                <w:color w:val="auto"/>
                <w:w w:val="96"/>
              </w:rPr>
              <w:t>442,800</w:t>
            </w:r>
            <w:r>
              <w:rPr>
                <w:rFonts w:ascii="Arial" w:cs="Arial" w:eastAsia="Arial" w:hAnsi="Arial"/>
                <w:sz w:val="20"/>
                <w:szCs w:val="20"/>
                <w:color w:val="auto"/>
                <w:w w:val="96"/>
                <w:vertAlign w:val="superscript"/>
              </w:rPr>
              <w:t>(11)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4"/>
                <w:szCs w:val="14"/>
                <w:color w:val="auto"/>
                <w:w w:val="91"/>
              </w:rPr>
              <w:t>1,048,755</w:t>
            </w:r>
            <w:r>
              <w:rPr>
                <w:rFonts w:ascii="Arial" w:cs="Arial" w:eastAsia="Arial" w:hAnsi="Arial"/>
                <w:sz w:val="20"/>
                <w:szCs w:val="20"/>
                <w:color w:val="auto"/>
                <w:w w:val="91"/>
                <w:vertAlign w:val="superscript"/>
              </w:rPr>
              <w:t>(6)</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131,274</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30,408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1,753,237</w:t>
            </w:r>
          </w:p>
        </w:tc>
        <w:tc>
          <w:tcPr>
            <w:tcW w:w="20" w:type="dxa"/>
            <w:vAlign w:val="bottom"/>
          </w:tcPr>
          <w:p>
            <w:pPr>
              <w:spacing w:after="0"/>
              <w:rPr>
                <w:sz w:val="15"/>
                <w:szCs w:val="15"/>
                <w:color w:val="auto"/>
              </w:rPr>
            </w:pPr>
          </w:p>
        </w:tc>
      </w:tr>
      <w:tr>
        <w:trPr>
          <w:trHeight w:val="22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President and Chief</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line="226" w:lineRule="exact"/>
              <w:rPr>
                <w:sz w:val="20"/>
                <w:szCs w:val="20"/>
                <w:color w:val="auto"/>
              </w:rPr>
            </w:pPr>
            <w:r>
              <w:rPr>
                <w:rFonts w:ascii="Arial" w:cs="Arial" w:eastAsia="Arial" w:hAnsi="Arial"/>
                <w:sz w:val="14"/>
                <w:szCs w:val="14"/>
                <w:color w:val="auto"/>
                <w:w w:val="95"/>
              </w:rPr>
              <w:t>483,500</w:t>
            </w:r>
            <w:r>
              <w:rPr>
                <w:rFonts w:ascii="Arial" w:cs="Arial" w:eastAsia="Arial" w:hAnsi="Arial"/>
                <w:sz w:val="21"/>
                <w:szCs w:val="21"/>
                <w:color w:val="auto"/>
                <w:w w:val="95"/>
                <w:vertAlign w:val="superscript"/>
              </w:rPr>
              <w:t>(11)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236,723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25,976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746,199</w:t>
            </w:r>
          </w:p>
        </w:tc>
        <w:tc>
          <w:tcPr>
            <w:tcW w:w="20" w:type="dxa"/>
            <w:vAlign w:val="bottom"/>
          </w:tcPr>
          <w:p>
            <w:pPr>
              <w:spacing w:after="0"/>
              <w:rPr>
                <w:sz w:val="19"/>
                <w:szCs w:val="19"/>
                <w:color w:val="auto"/>
              </w:rPr>
            </w:pPr>
          </w:p>
        </w:tc>
      </w:tr>
      <w:tr>
        <w:trPr>
          <w:trHeight w:val="183"/>
        </w:trPr>
        <w:tc>
          <w:tcPr>
            <w:tcW w:w="1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Financial Officer</w:t>
            </w: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74"/>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David P. Shearrow</w:t>
            </w:r>
            <w:r>
              <w:rPr>
                <w:rFonts w:ascii="Arial" w:cs="Arial" w:eastAsia="Arial" w:hAnsi="Arial"/>
                <w:sz w:val="21"/>
                <w:szCs w:val="21"/>
                <w:b w:val="1"/>
                <w:bCs w:val="1"/>
                <w:color w:val="auto"/>
                <w:vertAlign w:val="superscript"/>
              </w:rPr>
              <w:t>(12)</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2014</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375,000</w:t>
            </w:r>
          </w:p>
        </w:tc>
        <w:tc>
          <w:tcPr>
            <w:tcW w:w="160" w:type="dxa"/>
            <w:vAlign w:val="bottom"/>
          </w:tcPr>
          <w:p>
            <w:pPr>
              <w:spacing w:after="0"/>
              <w:rPr>
                <w:sz w:val="23"/>
                <w:szCs w:val="23"/>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150,000</w:t>
            </w:r>
          </w:p>
        </w:tc>
        <w:tc>
          <w:tcPr>
            <w:tcW w:w="14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209,591</w:t>
            </w:r>
          </w:p>
        </w:tc>
        <w:tc>
          <w:tcPr>
            <w:tcW w:w="14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18,361</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752,952</w:t>
            </w:r>
          </w:p>
        </w:tc>
      </w:tr>
      <w:tr>
        <w:trPr>
          <w:trHeight w:val="189"/>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Executive Vice</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2013</w:t>
            </w:r>
          </w:p>
        </w:tc>
        <w:tc>
          <w:tcPr>
            <w:tcW w:w="860" w:type="dxa"/>
            <w:vAlign w:val="bottom"/>
            <w:gridSpan w:val="3"/>
          </w:tcPr>
          <w:p>
            <w:pPr>
              <w:jc w:val="right"/>
              <w:ind w:right="120"/>
              <w:spacing w:after="0" w:line="189" w:lineRule="exact"/>
              <w:rPr>
                <w:sz w:val="20"/>
                <w:szCs w:val="20"/>
                <w:color w:val="auto"/>
              </w:rPr>
            </w:pPr>
            <w:r>
              <w:rPr>
                <w:rFonts w:ascii="Arial" w:cs="Arial" w:eastAsia="Arial" w:hAnsi="Arial"/>
                <w:sz w:val="14"/>
                <w:szCs w:val="14"/>
                <w:color w:val="auto"/>
                <w:w w:val="95"/>
              </w:rPr>
              <w:t>442,800</w:t>
            </w:r>
            <w:r>
              <w:rPr>
                <w:rFonts w:ascii="Arial" w:cs="Arial" w:eastAsia="Arial" w:hAnsi="Arial"/>
                <w:sz w:val="21"/>
                <w:szCs w:val="21"/>
                <w:color w:val="auto"/>
                <w:w w:val="95"/>
                <w:vertAlign w:val="superscript"/>
              </w:rPr>
              <w:t>(11)</w:t>
            </w: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4"/>
                <w:szCs w:val="14"/>
                <w:color w:val="auto"/>
                <w:w w:val="90"/>
              </w:rPr>
              <w:t>1,048,755</w:t>
            </w:r>
            <w:r>
              <w:rPr>
                <w:rFonts w:ascii="Arial" w:cs="Arial" w:eastAsia="Arial" w:hAnsi="Arial"/>
                <w:sz w:val="21"/>
                <w:szCs w:val="21"/>
                <w:color w:val="auto"/>
                <w:w w:val="90"/>
                <w:vertAlign w:val="superscript"/>
              </w:rPr>
              <w:t>(6)</w:t>
            </w:r>
          </w:p>
        </w:tc>
        <w:tc>
          <w:tcPr>
            <w:tcW w:w="80" w:type="dxa"/>
            <w:vAlign w:val="bottom"/>
          </w:tcPr>
          <w:p>
            <w:pPr>
              <w:spacing w:after="0"/>
              <w:rPr>
                <w:sz w:val="16"/>
                <w:szCs w:val="16"/>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36,061</w:t>
            </w:r>
          </w:p>
        </w:tc>
        <w:tc>
          <w:tcPr>
            <w:tcW w:w="14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17,089</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1,644,705</w:t>
            </w:r>
          </w:p>
        </w:tc>
      </w:tr>
      <w:tr>
        <w:trPr>
          <w:trHeight w:val="221"/>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President and Chief</w:t>
            </w: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2012</w:t>
            </w:r>
          </w:p>
        </w:tc>
        <w:tc>
          <w:tcPr>
            <w:tcW w:w="860" w:type="dxa"/>
            <w:vAlign w:val="bottom"/>
            <w:gridSpan w:val="3"/>
          </w:tcPr>
          <w:p>
            <w:pPr>
              <w:jc w:val="right"/>
              <w:ind w:right="120"/>
              <w:spacing w:after="0" w:line="221" w:lineRule="exact"/>
              <w:rPr>
                <w:sz w:val="20"/>
                <w:szCs w:val="20"/>
                <w:color w:val="auto"/>
              </w:rPr>
            </w:pPr>
            <w:r>
              <w:rPr>
                <w:rFonts w:ascii="Arial" w:cs="Arial" w:eastAsia="Arial" w:hAnsi="Arial"/>
                <w:sz w:val="14"/>
                <w:szCs w:val="14"/>
                <w:color w:val="auto"/>
                <w:w w:val="95"/>
              </w:rPr>
              <w:t>483,500</w:t>
            </w:r>
            <w:r>
              <w:rPr>
                <w:rFonts w:ascii="Arial" w:cs="Arial" w:eastAsia="Arial" w:hAnsi="Arial"/>
                <w:sz w:val="21"/>
                <w:szCs w:val="21"/>
                <w:color w:val="auto"/>
                <w:w w:val="95"/>
                <w:vertAlign w:val="superscript"/>
              </w:rPr>
              <w:t>(11)</w:t>
            </w: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76,486</w:t>
            </w:r>
          </w:p>
        </w:tc>
        <w:tc>
          <w:tcPr>
            <w:tcW w:w="140" w:type="dxa"/>
            <w:vAlign w:val="bottom"/>
          </w:tcPr>
          <w:p>
            <w:pPr>
              <w:spacing w:after="0"/>
              <w:rPr>
                <w:sz w:val="19"/>
                <w:szCs w:val="19"/>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17,882</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577,868</w:t>
            </w:r>
          </w:p>
        </w:tc>
      </w:tr>
      <w:tr>
        <w:trPr>
          <w:trHeight w:val="182"/>
        </w:trPr>
        <w:tc>
          <w:tcPr>
            <w:tcW w:w="1700" w:type="dxa"/>
            <w:vAlign w:val="bottom"/>
            <w:gridSpan w:val="2"/>
          </w:tcPr>
          <w:p>
            <w:pPr>
              <w:ind w:left="180"/>
              <w:spacing w:after="0"/>
              <w:rPr>
                <w:sz w:val="20"/>
                <w:szCs w:val="20"/>
                <w:color w:val="auto"/>
              </w:rPr>
            </w:pPr>
            <w:r>
              <w:rPr>
                <w:rFonts w:ascii="Arial" w:cs="Arial" w:eastAsia="Arial" w:hAnsi="Arial"/>
                <w:sz w:val="14"/>
                <w:szCs w:val="14"/>
                <w:color w:val="auto"/>
              </w:rPr>
              <w:t>Risk Officer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6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Bill M. Gilbert</w:t>
            </w:r>
          </w:p>
        </w:tc>
        <w:tc>
          <w:tcPr>
            <w:tcW w:w="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275,000</w:t>
            </w:r>
          </w:p>
        </w:tc>
        <w:tc>
          <w:tcPr>
            <w:tcW w:w="1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75,000</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183,180</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21,875</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555,055</w:t>
            </w:r>
          </w:p>
        </w:tc>
        <w:tc>
          <w:tcPr>
            <w:tcW w:w="20" w:type="dxa"/>
            <w:vAlign w:val="bottom"/>
          </w:tcPr>
          <w:p>
            <w:pPr>
              <w:spacing w:after="0"/>
              <w:rPr>
                <w:sz w:val="22"/>
                <w:szCs w:val="22"/>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President of</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256,600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213" w:lineRule="exact"/>
              <w:rPr>
                <w:sz w:val="20"/>
                <w:szCs w:val="20"/>
                <w:color w:val="auto"/>
              </w:rPr>
            </w:pPr>
            <w:r>
              <w:rPr>
                <w:rFonts w:ascii="Arial" w:cs="Arial" w:eastAsia="Arial" w:hAnsi="Arial"/>
                <w:sz w:val="14"/>
                <w:szCs w:val="14"/>
                <w:color w:val="auto"/>
              </w:rPr>
              <w:t>603,600</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36,378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26,506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973,084</w:t>
            </w:r>
          </w:p>
        </w:tc>
        <w:tc>
          <w:tcPr>
            <w:tcW w:w="20" w:type="dxa"/>
            <w:vAlign w:val="bottom"/>
          </w:tcPr>
          <w:p>
            <w:pPr>
              <w:spacing w:after="0"/>
              <w:rPr>
                <w:sz w:val="18"/>
                <w:szCs w:val="18"/>
                <w:color w:val="auto"/>
              </w:rPr>
            </w:pPr>
          </w:p>
        </w:tc>
      </w:tr>
      <w:tr>
        <w:trPr>
          <w:trHeight w:val="191"/>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Community Banking</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88,383</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26,350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314,733</w:t>
            </w:r>
          </w:p>
        </w:tc>
        <w:tc>
          <w:tcPr>
            <w:tcW w:w="20" w:type="dxa"/>
            <w:vAlign w:val="bottom"/>
          </w:tcPr>
          <w:p>
            <w:pPr>
              <w:spacing w:after="0"/>
              <w:rPr>
                <w:sz w:val="16"/>
                <w:szCs w:val="16"/>
                <w:color w:val="auto"/>
              </w:rPr>
            </w:pPr>
          </w:p>
        </w:tc>
      </w:tr>
      <w:tr>
        <w:trPr>
          <w:trHeight w:val="66"/>
        </w:trPr>
        <w:tc>
          <w:tcPr>
            <w:tcW w:w="1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-2400300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-2400300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-2400300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-2400300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-2400300</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-2400300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-2400300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-2400300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-2400300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ind w:left="1480" w:right="759" w:hanging="212"/>
        <w:spacing w:after="0" w:line="210" w:lineRule="auto"/>
        <w:tabs>
          <w:tab w:leader="none" w:pos="1480"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Amount shown for salary was either paid in cash, stock or deferred, as elected by the executive under the Deferred Compensation Plan. See the “Nonqualified Deferred Compensation — Activity For 2014” table for the executive’s contributions and earnings.</w:t>
      </w:r>
    </w:p>
    <w:p>
      <w:pPr>
        <w:jc w:val="both"/>
        <w:ind w:left="1480" w:right="759" w:hanging="212"/>
        <w:spacing w:after="0" w:line="227" w:lineRule="auto"/>
        <w:tabs>
          <w:tab w:leader="none" w:pos="148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The amounts shown reflect the aggregate grant date fair value of the restricted stock units. The assumptions made when calculating the grant date fair value of stock options are found in Note 23 to the Consolidated Financial Statements of United contained in its Annual Report on Form 10-K for the year ended December 31, 2014. No options to acquire shares of common stock were awarded in the past three years.</w:t>
      </w:r>
    </w:p>
    <w:p>
      <w:pPr>
        <w:jc w:val="both"/>
        <w:ind w:left="1480" w:right="759" w:hanging="212"/>
        <w:spacing w:after="0" w:line="244" w:lineRule="auto"/>
        <w:tabs>
          <w:tab w:leader="none" w:pos="1480"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Non-equity incentive plan compensation includes amounts earned under the Management Incentive Plan as a result of achieving the goals specified for the designated year and other cash retention payments. Because of restrictions resulting from United’s participation in TARP, no non-equity incentive compensation awards were granted by the Compensation Committee during 2012.</w:t>
      </w:r>
    </w:p>
    <w:p>
      <w:pPr>
        <w:spacing w:after="0" w:line="7" w:lineRule="exact"/>
        <w:rPr>
          <w:rFonts w:ascii="Arial" w:cs="Arial" w:eastAsia="Arial" w:hAnsi="Arial"/>
          <w:sz w:val="19"/>
          <w:szCs w:val="19"/>
          <w:color w:val="auto"/>
          <w:vertAlign w:val="superscript"/>
        </w:rPr>
      </w:pPr>
    </w:p>
    <w:p>
      <w:pPr>
        <w:jc w:val="both"/>
        <w:ind w:left="1480" w:right="759" w:hanging="212"/>
        <w:spacing w:after="0" w:line="260" w:lineRule="auto"/>
        <w:tabs>
          <w:tab w:leader="none" w:pos="1480"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Includes the annual change in the present value of the executive’s accumulated benefits under the Modified Retirement Plan. The change in present value reflects revisions to the key actuarial assumptions, principally, lowering the discount rate to 4.0% compared with 4.5% in 2013 and 4.0% in 2012, and the use of updated mortality assumptions in 2014. See the “Pension Benefits” and “Nonqualified Deferred Compensation — Activity For 2014” tables for additional information. The Deferred Compensation Plan does not credit above-market or preferential earnings, so no amounts are included in this column with respect to the Deferred Compensation Plan.</w:t>
      </w:r>
    </w:p>
    <w:p>
      <w:pPr>
        <w:jc w:val="both"/>
        <w:ind w:left="1480" w:right="739" w:hanging="212"/>
        <w:spacing w:after="0" w:line="241" w:lineRule="auto"/>
        <w:tabs>
          <w:tab w:leader="none" w:pos="148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Amounts shown include: (i) matching and profit sharing contributions to the 401(k) Plan on behalf of the executive; (ii) matching contributions to the 401(k) Plan on behalf of the executive to the Deferred Compensation Plan (see the “Nonqualified Deferred Compensation — Activity For 2014” table for additional information); (iii) the value of personal travel or allowance for a company-owned car; (iv) club membership dues that are not used exclusively for business purposes; (v) life insurance premiums paid on behalf of the executive; and (vi) directors fees paid to the executive for serving on subsidiary and community bank boards. Certain executives received director fees in 2014, 2013 and 2012, respectively, of $37,400, $37,400, and $37,400 for Mr. Tallent and $0, $5,100 and $5,100 for Mr. Gilbert.</w:t>
      </w:r>
    </w:p>
    <w:p>
      <w:pPr>
        <w:spacing w:after="0" w:line="4" w:lineRule="exact"/>
        <w:rPr>
          <w:rFonts w:ascii="Arial" w:cs="Arial" w:eastAsia="Arial" w:hAnsi="Arial"/>
          <w:sz w:val="22"/>
          <w:szCs w:val="22"/>
          <w:color w:val="auto"/>
          <w:vertAlign w:val="superscript"/>
        </w:rPr>
      </w:pPr>
    </w:p>
    <w:p>
      <w:pPr>
        <w:jc w:val="both"/>
        <w:ind w:left="1480" w:right="759" w:hanging="212"/>
        <w:spacing w:after="0" w:line="256" w:lineRule="auto"/>
        <w:tabs>
          <w:tab w:leader="none" w:pos="1480"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Represents an aggregate of 465,000 long-term equity performance and incentive restricted stock units awarded to our Named Executive Officers in August 2013 that will serve as the primary long-term performance-based equity and incentive awards for several years. Of the long-term incentive restricted stock units awarded, 70% are performance-based and vest annually during the five-year performance period if the performance criteria are met. The remaining 30% of the equity incentive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-2801620</wp:posOffset>
            </wp:positionV>
            <wp:extent cx="12350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480" w:right="739"/>
        <w:spacing w:after="0" w:line="277" w:lineRule="auto"/>
        <w:rPr>
          <w:sz w:val="20"/>
          <w:szCs w:val="20"/>
          <w:color w:val="auto"/>
        </w:rPr>
      </w:pPr>
      <w:r>
        <w:rPr>
          <w:rFonts w:ascii="Arial" w:cs="Arial" w:eastAsia="Arial" w:hAnsi="Arial"/>
          <w:sz w:val="13"/>
          <w:szCs w:val="13"/>
          <w:color w:val="auto"/>
        </w:rPr>
        <w:t>are time-based and vest annually over five years. In September 2014, our Named Executive Officers vested in 12% of the performance-based awards due to United’s fourth quarter 2013 earnings per share exceeding the targeted earnings per share level as well as 12% of the time-based awards. In January 2015, our Named Executive Officers vested in 22% of the performance-based awards due to United’s return on assets exceeding the specified performance level for 2014. For years 2015 through 2017, up to one-third (22% of the original award) of the remaining unvested performance-based awards are eligible to vest annually in each of January 2016, 2017 and 2018 to the extent that United’s return on assets reaches specified threshold and target levels during the performance year. If the threshold level is achieved, 50% of the applicable award is eligible to vest. Between the threshold level and the maximum targeted level of 100%, the awards will vest pro rata based on the level of performance. If performance is under the threshold level then the award will be forfeited for that year. See “Compensation Discussion &amp; Analysis” for additional information.</w:t>
      </w:r>
    </w:p>
    <w:p>
      <w:pPr>
        <w:spacing w:after="0" w:line="27" w:lineRule="exact"/>
        <w:rPr>
          <w:sz w:val="20"/>
          <w:szCs w:val="20"/>
          <w:color w:val="auto"/>
        </w:rPr>
      </w:pPr>
    </w:p>
    <w:p>
      <w:pPr>
        <w:ind w:left="1480" w:right="759" w:hanging="212"/>
        <w:spacing w:after="0" w:line="207" w:lineRule="auto"/>
        <w:tabs>
          <w:tab w:leader="none" w:pos="14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Includes a one-time equity incentive award of 25,000 restricted stock units valued at $310,500 to Mr. Tallent’s deferred compensation plan in the second quarter of 2013. See “Compensation Discussion &amp; Analysis” for additional information.</w:t>
      </w:r>
    </w:p>
    <w:p>
      <w:pPr>
        <w:jc w:val="both"/>
        <w:ind w:left="1480" w:right="759" w:hanging="212"/>
        <w:spacing w:after="0" w:line="234" w:lineRule="auto"/>
        <w:tabs>
          <w:tab w:leader="none" w:pos="14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Includes $24,150 and $12,057, respectively, of salary paid in the form of 2,086 and 1,397 shares, respectively, of Salary Stock in 2013 and 2012. The number of shares issued each semi-monthly pay period to Mr. Harton had a value on the date of issuance of $1,610 and $1,687, respectively, in 2013 and 2012, which was net of $1,515 and $1,438, respectively, of withholding taxes, resulting in individual grants ranging from 108 to 162 shares in 2013 and 183 to 206 shares in 2012 at a per share grant date value of $9.91 to $14.92 in 2013 and $8.25 to $9.26 in 2012. The Salary Stock was fully vested upon issuance.</w:t>
      </w:r>
    </w:p>
    <w:p>
      <w:pPr>
        <w:spacing w:after="0" w:line="3" w:lineRule="exact"/>
        <w:rPr>
          <w:rFonts w:ascii="Arial" w:cs="Arial" w:eastAsia="Arial" w:hAnsi="Arial"/>
          <w:sz w:val="22"/>
          <w:szCs w:val="22"/>
          <w:color w:val="auto"/>
          <w:vertAlign w:val="superscript"/>
        </w:rPr>
      </w:pPr>
    </w:p>
    <w:p>
      <w:pPr>
        <w:ind w:left="1480" w:hanging="212"/>
        <w:spacing w:after="0" w:line="192" w:lineRule="auto"/>
        <w:tabs>
          <w:tab w:leader="none" w:pos="1480"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Mr. Harton was paid a $50,000 signing bonus when he joined United.</w:t>
      </w:r>
    </w:p>
    <w:p>
      <w:pPr>
        <w:spacing w:after="0" w:line="6" w:lineRule="exact"/>
        <w:rPr>
          <w:rFonts w:ascii="Arial" w:cs="Arial" w:eastAsia="Arial" w:hAnsi="Arial"/>
          <w:sz w:val="19"/>
          <w:szCs w:val="19"/>
          <w:color w:val="auto"/>
          <w:vertAlign w:val="superscript"/>
        </w:rPr>
      </w:pPr>
    </w:p>
    <w:p>
      <w:pPr>
        <w:jc w:val="both"/>
        <w:ind w:left="1480" w:right="759" w:hanging="212"/>
        <w:spacing w:after="0" w:line="332" w:lineRule="auto"/>
        <w:tabs>
          <w:tab w:leader="none" w:pos="1480" w:val="left"/>
        </w:tabs>
        <w:numPr>
          <w:ilvl w:val="0"/>
          <w:numId w:val="19"/>
        </w:numPr>
        <w:rPr>
          <w:rFonts w:ascii="Arial" w:cs="Arial" w:eastAsia="Arial" w:hAnsi="Arial"/>
          <w:sz w:val="17"/>
          <w:szCs w:val="17"/>
          <w:color w:val="auto"/>
          <w:vertAlign w:val="superscript"/>
        </w:rPr>
      </w:pPr>
      <w:r>
        <w:rPr>
          <w:rFonts w:ascii="Arial" w:cs="Arial" w:eastAsia="Arial" w:hAnsi="Arial"/>
          <w:sz w:val="12"/>
          <w:szCs w:val="12"/>
          <w:color w:val="auto"/>
        </w:rPr>
        <w:t>Represents 150,000 restricted stock units awarded to Mr. Harton when he joined United. Seventy-five thousand restricted stock units are time-based awards that will vest annually on the second and third anniversaries of the grant date and 37,500 performance based restricted stock units that vested in September 2014 since United exceeded the targeted performance level for 2013 and the remaining 37,500 performance based restricted stock units will vest in September 2015 as a result of United’s return on average assets exceeding the specified target level for 2014. The amount disclosed was adjusted in 2013 since the original award was made in 2012, because the performance targets applied to the award were modified in 2013 to be the same as the performance targets applied to the long-term equity plan that was awarded to all of our Named Executive Officers in August 2013. The original performance target levels were established before the 2013 performance goals were set for United and the Compensation Committee and the Board believed that the goals of the Chief Operating Officer and the other Named Executive Officers should be the same, which would provide for consistency and continuity in executing the long-term goals for United. The long-term equity incentive awards are described in footnote 6. The adjustment to the performance targets has been accounted for as a grant modification and therefore the full value of this modification equaling $1,131,750 is added to the value of the 2013 long-term equity incentive award of $2,052,240 for a total disclosed stock award value of $3,183,990 for 2013. The amount shown for Mr. Harton’s 2013 performance-based restricted stock unit awards includes this $1,131,750 for the 75,000 restricted stock units that were modified with a fair market value of $15.09 per share, the closing price of United’s common stock on the date of the grant modification. This presentation does not give consideration to the treatment of the original award as being cancelled. The original award was valued at $648,750, or $8.65 per share, on the date of grant is included in the total amount for 2012. The amount of additional expense that will be recognized as a result of the grant modification is $483,000, the difference between United’s share price on the date of the modification ($15.09) and the share price on the date of the original award ($8.65) multiplied by the 75,000 restricted stock units that were modified.</w:t>
      </w:r>
    </w:p>
    <w:p>
      <w:pPr>
        <w:spacing w:after="0" w:line="5" w:lineRule="exact"/>
        <w:rPr>
          <w:rFonts w:ascii="Arial" w:cs="Arial" w:eastAsia="Arial" w:hAnsi="Arial"/>
          <w:sz w:val="17"/>
          <w:szCs w:val="17"/>
          <w:color w:val="auto"/>
          <w:vertAlign w:val="superscript"/>
        </w:rPr>
      </w:pPr>
    </w:p>
    <w:p>
      <w:pPr>
        <w:jc w:val="both"/>
        <w:ind w:left="1480" w:right="739" w:hanging="212"/>
        <w:spacing w:after="0" w:line="281" w:lineRule="auto"/>
        <w:tabs>
          <w:tab w:leader="none" w:pos="1480" w:val="left"/>
        </w:tabs>
        <w:numPr>
          <w:ilvl w:val="0"/>
          <w:numId w:val="19"/>
        </w:numPr>
        <w:rPr>
          <w:rFonts w:ascii="Arial" w:cs="Arial" w:eastAsia="Arial" w:hAnsi="Arial"/>
          <w:sz w:val="17"/>
          <w:szCs w:val="17"/>
          <w:color w:val="auto"/>
          <w:vertAlign w:val="superscript"/>
        </w:rPr>
      </w:pPr>
      <w:r>
        <w:rPr>
          <w:rFonts w:ascii="Arial" w:cs="Arial" w:eastAsia="Arial" w:hAnsi="Arial"/>
          <w:sz w:val="12"/>
          <w:szCs w:val="12"/>
          <w:color w:val="auto"/>
        </w:rPr>
        <w:t>Includes $42,000 and $79,800, respectively, of salary paid in the form of 3,629 and 9,546 shares, respectively, of Salary Stock in 2013, and 2012. The number of shares issued each semi-monthly pay period to Mr. Schuette and Mr. Shearrow had a value on the date of issuance of $2,800 in 2013 and $3,325 in 2012, which was net of $2,763 in 2013 and $2,238 in 2012 of withholding taxes, resulting in individual grants ranging from 188 to 283 in 2013 and 341 to 513 shares in 2012 at a per share grant date value of $9.91 to $14.92 in 2013 and $6.49 to $9.75 in 2012. The Salary Stock was fully vested upon issuance.</w:t>
      </w:r>
    </w:p>
    <w:p>
      <w:pPr>
        <w:spacing w:after="0" w:line="2" w:lineRule="exact"/>
        <w:rPr>
          <w:rFonts w:ascii="Arial" w:cs="Arial" w:eastAsia="Arial" w:hAnsi="Arial"/>
          <w:sz w:val="17"/>
          <w:szCs w:val="17"/>
          <w:color w:val="auto"/>
          <w:vertAlign w:val="superscript"/>
        </w:rPr>
      </w:pPr>
    </w:p>
    <w:p>
      <w:pPr>
        <w:ind w:left="1480" w:hanging="212"/>
        <w:spacing w:after="0" w:line="215" w:lineRule="auto"/>
        <w:tabs>
          <w:tab w:leader="none" w:pos="1480" w:val="left"/>
        </w:tabs>
        <w:numPr>
          <w:ilvl w:val="0"/>
          <w:numId w:val="19"/>
        </w:numPr>
        <w:rPr>
          <w:rFonts w:ascii="Arial" w:cs="Arial" w:eastAsia="Arial" w:hAnsi="Arial"/>
          <w:sz w:val="17"/>
          <w:szCs w:val="17"/>
          <w:color w:val="auto"/>
          <w:vertAlign w:val="superscript"/>
        </w:rPr>
      </w:pPr>
      <w:r>
        <w:rPr>
          <w:rFonts w:ascii="Arial" w:cs="Arial" w:eastAsia="Arial" w:hAnsi="Arial"/>
          <w:sz w:val="12"/>
          <w:szCs w:val="12"/>
          <w:color w:val="auto"/>
        </w:rPr>
        <w:t>Mr. Shearrow retired effective January 1, 2015.</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Grants of Restricted Stock Units, Stock Options, and Stock Awards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When granting equity awards, the Compensation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10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and settlement of restricted stock units for the Named Executive Officers during 2014.</w:t>
      </w:r>
    </w:p>
    <w:p>
      <w:pPr>
        <w:spacing w:after="0" w:line="15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STOCK OPTION EXERCISES AND VESTING OF RESTRICTED STOCK UNITS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Option Awards</w:t>
            </w: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Restricted Stock Unit Awards</w:t>
            </w:r>
          </w:p>
        </w:tc>
        <w:tc>
          <w:tcPr>
            <w:tcW w:w="0" w:type="dxa"/>
            <w:vAlign w:val="bottom"/>
          </w:tcPr>
          <w:p>
            <w:pPr>
              <w:spacing w:after="0"/>
              <w:rPr>
                <w:sz w:val="1"/>
                <w:szCs w:val="1"/>
                <w:color w:val="auto"/>
              </w:rPr>
            </w:pPr>
          </w:p>
        </w:tc>
      </w:tr>
      <w:tr>
        <w:trPr>
          <w:trHeight w:val="26"/>
        </w:trPr>
        <w:tc>
          <w:tcPr>
            <w:tcW w:w="3340" w:type="dxa"/>
            <w:vAlign w:val="bottom"/>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Exercised</w:t>
            </w:r>
          </w:p>
        </w:tc>
        <w:tc>
          <w:tcPr>
            <w:tcW w:w="1040" w:type="dxa"/>
            <w:vAlign w:val="bottom"/>
          </w:tcPr>
          <w:p>
            <w:pPr>
              <w:jc w:val="center"/>
              <w:spacing w:after="0" w:line="237" w:lineRule="exact"/>
              <w:rPr>
                <w:sz w:val="20"/>
                <w:szCs w:val="20"/>
                <w:color w:val="auto"/>
              </w:rPr>
            </w:pPr>
            <w:r>
              <w:rPr>
                <w:rFonts w:ascii="Arial" w:cs="Arial" w:eastAsia="Arial" w:hAnsi="Arial"/>
                <w:sz w:val="14"/>
                <w:szCs w:val="14"/>
                <w:b w:val="1"/>
                <w:bCs w:val="1"/>
                <w:color w:val="auto"/>
                <w:w w:val="88"/>
              </w:rPr>
              <w:t>Value Realized</w:t>
            </w:r>
            <w:r>
              <w:rPr>
                <w:rFonts w:ascii="Arial" w:cs="Arial" w:eastAsia="Arial" w:hAnsi="Arial"/>
                <w:sz w:val="21"/>
                <w:szCs w:val="21"/>
                <w:b w:val="1"/>
                <w:bCs w:val="1"/>
                <w:color w:val="auto"/>
                <w:w w:val="88"/>
                <w:vertAlign w:val="superscript"/>
              </w:rPr>
              <w:t>(1)</w:t>
            </w:r>
          </w:p>
        </w:tc>
        <w:tc>
          <w:tcPr>
            <w:tcW w:w="220" w:type="dxa"/>
            <w:vAlign w:val="bottom"/>
            <w:vMerge w:val="continue"/>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Number Vesting</w:t>
            </w:r>
          </w:p>
        </w:tc>
        <w:tc>
          <w:tcPr>
            <w:tcW w:w="1040" w:type="dxa"/>
            <w:vAlign w:val="bottom"/>
          </w:tcPr>
          <w:p>
            <w:pPr>
              <w:jc w:val="right"/>
              <w:spacing w:after="0" w:line="237" w:lineRule="exact"/>
              <w:rPr>
                <w:sz w:val="20"/>
                <w:szCs w:val="20"/>
                <w:color w:val="auto"/>
              </w:rPr>
            </w:pPr>
            <w:r>
              <w:rPr>
                <w:rFonts w:ascii="Arial" w:cs="Arial" w:eastAsia="Arial" w:hAnsi="Arial"/>
                <w:sz w:val="14"/>
                <w:szCs w:val="14"/>
                <w:b w:val="1"/>
                <w:bCs w:val="1"/>
                <w:color w:val="auto"/>
                <w:w w:val="88"/>
              </w:rPr>
              <w:t>Value Realized</w:t>
            </w:r>
            <w:r>
              <w:rPr>
                <w:rFonts w:ascii="Arial" w:cs="Arial" w:eastAsia="Arial" w:hAnsi="Arial"/>
                <w:sz w:val="21"/>
                <w:szCs w:val="21"/>
                <w:b w:val="1"/>
                <w:bCs w:val="1"/>
                <w:color w:val="auto"/>
                <w:w w:val="88"/>
                <w:vertAlign w:val="superscript"/>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Tallent</w:t>
            </w: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27,756</w:t>
            </w:r>
          </w:p>
        </w:tc>
        <w:tc>
          <w:tcPr>
            <w:tcW w:w="2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493,286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91,320</w:t>
            </w:r>
          </w:p>
        </w:tc>
        <w:tc>
          <w:tcPr>
            <w:tcW w:w="2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1,672,069</w:t>
            </w: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20,120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20,120</w:t>
            </w:r>
          </w:p>
        </w:tc>
        <w:tc>
          <w:tcPr>
            <w:tcW w:w="2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350,374</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Gilbert</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11,550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-831215</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-831215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-831215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-831215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8" w:lineRule="exact"/>
        <w:rPr>
          <w:sz w:val="20"/>
          <w:szCs w:val="20"/>
          <w:color w:val="auto"/>
        </w:rPr>
      </w:pPr>
    </w:p>
    <w:p>
      <w:pPr>
        <w:ind w:left="1480" w:right="759" w:hanging="212"/>
        <w:spacing w:after="0" w:line="187" w:lineRule="auto"/>
        <w:tabs>
          <w:tab w:leader="none" w:pos="14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Represents the difference between the closing price of United’s Common Stock on the date of exercise and the per share option exercise price, multiplied by the number of options exercised.</w:t>
      </w:r>
    </w:p>
    <w:p>
      <w:pPr>
        <w:ind w:left="1480" w:right="759" w:hanging="212"/>
        <w:spacing w:after="0" w:line="200" w:lineRule="auto"/>
        <w:tabs>
          <w:tab w:leader="none" w:pos="14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Represents the value realized by multiplying the number of restricted stock unit awards vesting by the closing price of United’s Common Stock on the date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-454025</wp:posOffset>
            </wp:positionV>
            <wp:extent cx="1235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Outstanding Equity Awards as of December 31, 2014</w:t>
      </w:r>
    </w:p>
    <w:p>
      <w:pPr>
        <w:spacing w:after="0" w:line="104"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The following table sets forth, for each Named Executive Officer, the number of stock options exercisable and unexercisable and the number and value of unvested restricted stock unit awards as of December 31, 2014.</w:t>
      </w:r>
    </w:p>
    <w:p>
      <w:pPr>
        <w:spacing w:after="0" w:line="10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7"/>
          </w:tcPr>
          <w:p>
            <w:pPr>
              <w:ind w:left="140"/>
              <w:spacing w:after="0"/>
              <w:rPr>
                <w:sz w:val="20"/>
                <w:szCs w:val="20"/>
                <w:color w:val="auto"/>
              </w:rPr>
            </w:pPr>
            <w:r>
              <w:rPr>
                <w:rFonts w:ascii="Arial" w:cs="Arial" w:eastAsia="Arial" w:hAnsi="Arial"/>
                <w:sz w:val="14"/>
                <w:szCs w:val="14"/>
                <w:b w:val="1"/>
                <w:bCs w:val="1"/>
                <w:color w:val="auto"/>
              </w:rPr>
              <w:t>Stock Option Awards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Restricted Stock Unit Awards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auto"/>
            </w:tcBorders>
            <w:gridSpan w:val="4"/>
          </w:tcPr>
          <w:p>
            <w:pPr>
              <w:spacing w:after="0"/>
              <w:rPr>
                <w:sz w:val="5"/>
                <w:szCs w:val="5"/>
                <w:color w:val="auto"/>
              </w:rPr>
            </w:pPr>
          </w:p>
        </w:tc>
        <w:tc>
          <w:tcPr>
            <w:tcW w:w="1080" w:type="dxa"/>
            <w:vAlign w:val="bottom"/>
            <w:tcBorders>
              <w:bottom w:val="single" w:sz="8" w:color="auto"/>
            </w:tcBorders>
            <w:gridSpan w:val="5"/>
          </w:tcPr>
          <w:p>
            <w:pPr>
              <w:spacing w:after="0"/>
              <w:rPr>
                <w:sz w:val="5"/>
                <w:szCs w:val="5"/>
                <w:color w:val="auto"/>
              </w:rPr>
            </w:pPr>
          </w:p>
        </w:tc>
        <w:tc>
          <w:tcPr>
            <w:tcW w:w="7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Unexercisable</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Date</w:t>
            </w:r>
            <w:r>
              <w:rPr>
                <w:rFonts w:ascii="Arial" w:cs="Arial" w:eastAsia="Arial" w:hAnsi="Arial"/>
                <w:sz w:val="21"/>
                <w:szCs w:val="21"/>
                <w:b w:val="1"/>
                <w:bCs w:val="1"/>
                <w:color w:val="auto"/>
                <w:w w:val="88"/>
                <w:vertAlign w:val="superscript"/>
              </w:rPr>
              <w:t>(1)</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Not Vested</w:t>
            </w:r>
            <w:r>
              <w:rPr>
                <w:rFonts w:ascii="Arial" w:cs="Arial" w:eastAsia="Arial" w:hAnsi="Arial"/>
                <w:sz w:val="21"/>
                <w:szCs w:val="21"/>
                <w:b w:val="1"/>
                <w:bCs w:val="1"/>
                <w:color w:val="auto"/>
                <w:w w:val="86"/>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Not Vested</w:t>
            </w:r>
            <w:r>
              <w:rPr>
                <w:rFonts w:ascii="Arial" w:cs="Arial" w:eastAsia="Arial" w:hAnsi="Arial"/>
                <w:sz w:val="21"/>
                <w:szCs w:val="21"/>
                <w:b w:val="1"/>
                <w:bCs w:val="1"/>
                <w:color w:val="auto"/>
                <w:w w:val="88"/>
                <w:vertAlign w:val="superscript"/>
              </w:rPr>
              <w:t>(2)</w:t>
            </w:r>
          </w:p>
        </w:tc>
        <w:tc>
          <w:tcPr>
            <w:tcW w:w="0" w:type="dxa"/>
            <w:vAlign w:val="bottom"/>
          </w:tcPr>
          <w:p>
            <w:pPr>
              <w:spacing w:after="0"/>
              <w:rPr>
                <w:sz w:val="1"/>
                <w:szCs w:val="1"/>
                <w:color w:val="auto"/>
              </w:rPr>
            </w:pPr>
          </w:p>
        </w:tc>
      </w:tr>
      <w:tr>
        <w:trPr>
          <w:trHeight w:val="304"/>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Tallent</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4,240</w:t>
            </w: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111.20</w:t>
            </w:r>
          </w:p>
        </w:tc>
        <w:tc>
          <w:tcPr>
            <w:tcW w:w="20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5/16/15</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4/26/16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4/30/18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4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27,307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bottom w:val="single" w:sz="8" w:color="CCEEFF"/>
            </w:tcBorders>
            <w:gridSpan w:val="3"/>
            <w:shd w:val="clear" w:color="auto" w:fill="CCEEFF"/>
          </w:tcPr>
          <w:p>
            <w:pPr>
              <w:spacing w:after="0"/>
              <w:rPr>
                <w:sz w:val="24"/>
                <w:szCs w:val="24"/>
                <w:color w:val="auto"/>
              </w:rPr>
            </w:pPr>
          </w:p>
        </w:tc>
        <w:tc>
          <w:tcPr>
            <w:tcW w:w="5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132,000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$ 2,500,080</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40" w:type="dxa"/>
            <w:vAlign w:val="bottom"/>
            <w:gridSpan w:val="4"/>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194,680</w:t>
            </w:r>
            <w:r>
              <w:rPr>
                <w:rFonts w:ascii="Arial" w:cs="Arial" w:eastAsia="Arial" w:hAnsi="Arial"/>
                <w:sz w:val="27"/>
                <w:szCs w:val="27"/>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3,687,239</w:t>
            </w:r>
          </w:p>
        </w:tc>
        <w:tc>
          <w:tcPr>
            <w:tcW w:w="0" w:type="dxa"/>
            <w:vAlign w:val="bottom"/>
          </w:tcPr>
          <w:p>
            <w:pPr>
              <w:spacing w:after="0"/>
              <w:rPr>
                <w:sz w:val="1"/>
                <w:szCs w:val="1"/>
                <w:color w:val="auto"/>
              </w:rPr>
            </w:pPr>
          </w:p>
        </w:tc>
      </w:tr>
      <w:tr>
        <w:trPr>
          <w:trHeight w:val="311"/>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12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111.20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4/26/16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4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14,132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bottom w:val="single" w:sz="8" w:color="CCEEFF"/>
            </w:tcBorders>
            <w:gridSpan w:val="3"/>
            <w:shd w:val="clear" w:color="auto" w:fill="CCEEFF"/>
          </w:tcPr>
          <w:p>
            <w:pPr>
              <w:spacing w:after="0"/>
              <w:rPr>
                <w:sz w:val="24"/>
                <w:szCs w:val="24"/>
                <w:color w:val="auto"/>
              </w:rPr>
            </w:pPr>
          </w:p>
        </w:tc>
        <w:tc>
          <w:tcPr>
            <w:tcW w:w="5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61,160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1,158,370</w:t>
            </w:r>
          </w:p>
        </w:tc>
        <w:tc>
          <w:tcPr>
            <w:tcW w:w="0" w:type="dxa"/>
            <w:vAlign w:val="bottom"/>
          </w:tcPr>
          <w:p>
            <w:pPr>
              <w:spacing w:after="0"/>
              <w:rPr>
                <w:sz w:val="1"/>
                <w:szCs w:val="1"/>
                <w:color w:val="auto"/>
              </w:rPr>
            </w:pPr>
          </w:p>
        </w:tc>
      </w:tr>
      <w:tr>
        <w:trPr>
          <w:trHeight w:val="311"/>
        </w:trPr>
        <w:tc>
          <w:tcPr>
            <w:tcW w:w="258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4"/>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151.15</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4/16/17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4"/>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66.40</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61,160</w:t>
            </w:r>
          </w:p>
        </w:tc>
        <w:tc>
          <w:tcPr>
            <w:tcW w:w="22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1,158,370</w:t>
            </w:r>
          </w:p>
        </w:tc>
        <w:tc>
          <w:tcPr>
            <w:tcW w:w="0" w:type="dxa"/>
            <w:vAlign w:val="bottom"/>
          </w:tcPr>
          <w:p>
            <w:pPr>
              <w:spacing w:after="0"/>
              <w:rPr>
                <w:sz w:val="1"/>
                <w:szCs w:val="1"/>
                <w:color w:val="auto"/>
              </w:rPr>
            </w:pPr>
          </w:p>
        </w:tc>
      </w:tr>
      <w:tr>
        <w:trPr>
          <w:trHeight w:val="291"/>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4"/>
          </w:tcPr>
          <w:p>
            <w:pPr>
              <w:jc w:val="center"/>
              <w:ind w:right="52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-3026410</wp:posOffset>
            </wp:positionV>
            <wp:extent cx="3644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6"/>
          </w:tcPr>
          <w:p>
            <w:pPr>
              <w:ind w:left="120"/>
              <w:spacing w:after="0"/>
              <w:rPr>
                <w:sz w:val="20"/>
                <w:szCs w:val="20"/>
                <w:color w:val="auto"/>
              </w:rPr>
            </w:pPr>
            <w:r>
              <w:rPr>
                <w:rFonts w:ascii="Arial" w:cs="Arial" w:eastAsia="Arial" w:hAnsi="Arial"/>
                <w:sz w:val="14"/>
                <w:szCs w:val="14"/>
                <w:b w:val="1"/>
                <w:bCs w:val="1"/>
                <w:color w:val="auto"/>
              </w:rPr>
              <w:t>Stock Option Awards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Restricted Stock Unit Awards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Borders>
              <w:bottom w:val="single" w:sz="8" w:color="auto"/>
            </w:tcBorders>
            <w:gridSpan w:val="4"/>
          </w:tcPr>
          <w:p>
            <w:pPr>
              <w:spacing w:after="0"/>
              <w:rPr>
                <w:sz w:val="5"/>
                <w:szCs w:val="5"/>
                <w:color w:val="auto"/>
              </w:rPr>
            </w:pPr>
          </w:p>
        </w:tc>
        <w:tc>
          <w:tcPr>
            <w:tcW w:w="1080" w:type="dxa"/>
            <w:vAlign w:val="bottom"/>
            <w:tcBorders>
              <w:bottom w:val="single" w:sz="8" w:color="auto"/>
            </w:tcBorders>
            <w:gridSpan w:val="4"/>
          </w:tcPr>
          <w:p>
            <w:pPr>
              <w:spacing w:after="0"/>
              <w:rPr>
                <w:sz w:val="5"/>
                <w:szCs w:val="5"/>
                <w:color w:val="auto"/>
              </w:rPr>
            </w:pPr>
          </w:p>
        </w:tc>
        <w:tc>
          <w:tcPr>
            <w:tcW w:w="7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3"/>
                <w:szCs w:val="23"/>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Exercisable</w:t>
            </w: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Unexercisable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Date</w:t>
            </w:r>
            <w:r>
              <w:rPr>
                <w:rFonts w:ascii="Arial" w:cs="Arial" w:eastAsia="Arial" w:hAnsi="Arial"/>
                <w:sz w:val="21"/>
                <w:szCs w:val="21"/>
                <w:b w:val="1"/>
                <w:bCs w:val="1"/>
                <w:color w:val="auto"/>
                <w:w w:val="84"/>
                <w:vertAlign w:val="superscript"/>
              </w:rPr>
              <w:t>(1)</w:t>
            </w:r>
          </w:p>
        </w:tc>
        <w:tc>
          <w:tcPr>
            <w:tcW w:w="120" w:type="dxa"/>
            <w:vAlign w:val="bottom"/>
          </w:tcPr>
          <w:p>
            <w:pPr>
              <w:spacing w:after="0"/>
              <w:rPr>
                <w:sz w:val="23"/>
                <w:szCs w:val="2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Not Vested</w:t>
            </w:r>
            <w:r>
              <w:rPr>
                <w:rFonts w:ascii="Arial" w:cs="Arial" w:eastAsia="Arial" w:hAnsi="Arial"/>
                <w:sz w:val="21"/>
                <w:szCs w:val="21"/>
                <w:b w:val="1"/>
                <w:bCs w:val="1"/>
                <w:color w:val="auto"/>
                <w:w w:val="86"/>
                <w:vertAlign w:val="superscript"/>
              </w:rPr>
              <w:t>(2)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Not Vested</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304"/>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Gilbert</w:t>
            </w:r>
          </w:p>
        </w:tc>
        <w:tc>
          <w:tcPr>
            <w:tcW w:w="22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111.20</w:t>
            </w:r>
          </w:p>
        </w:tc>
        <w:tc>
          <w:tcPr>
            <w:tcW w:w="22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5/16/15</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1,143</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138.80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4/26/16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1,247</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1,559</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1,411</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6/22/19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0"/>
              </w:rPr>
              <w:t>35,200</w:t>
            </w:r>
          </w:p>
        </w:tc>
        <w:tc>
          <w:tcPr>
            <w:tcW w:w="220" w:type="dxa"/>
            <w:vAlign w:val="bottom"/>
            <w:shd w:val="clear" w:color="auto" w:fill="CCEEFF"/>
          </w:tcPr>
          <w:p>
            <w:pPr>
              <w:spacing w:after="0" w:line="20" w:lineRule="exact"/>
              <w:rPr>
                <w:sz w:val="1"/>
                <w:szCs w:val="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666,688</w:t>
            </w:r>
          </w:p>
        </w:tc>
        <w:tc>
          <w:tcPr>
            <w:tcW w:w="0" w:type="dxa"/>
            <w:vAlign w:val="bottom"/>
          </w:tcPr>
          <w:p>
            <w:pPr>
              <w:spacing w:after="0" w:line="20" w:lineRule="exact"/>
              <w:rPr>
                <w:sz w:val="1"/>
                <w:szCs w:val="1"/>
                <w:color w:val="auto"/>
              </w:rPr>
            </w:pPr>
          </w:p>
        </w:tc>
      </w:tr>
      <w:tr>
        <w:trPr>
          <w:trHeight w:val="291"/>
        </w:trPr>
        <w:tc>
          <w:tcPr>
            <w:tcW w:w="2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6,295</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-1294130</wp:posOffset>
            </wp:positionV>
            <wp:extent cx="36360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52" w:lineRule="exact"/>
        <w:rPr>
          <w:sz w:val="20"/>
          <w:szCs w:val="20"/>
          <w:color w:val="auto"/>
        </w:rPr>
      </w:pPr>
    </w:p>
    <w:p>
      <w:pPr>
        <w:ind w:left="1480" w:hanging="212"/>
        <w:spacing w:after="0"/>
        <w:tabs>
          <w:tab w:leader="none" w:pos="14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expiration date of each stock option is ten years after the date of grant.</w:t>
      </w:r>
    </w:p>
    <w:p>
      <w:pPr>
        <w:jc w:val="both"/>
        <w:ind w:left="1480" w:right="739" w:hanging="212"/>
        <w:spacing w:after="0" w:line="250" w:lineRule="auto"/>
        <w:tabs>
          <w:tab w:leader="none" w:pos="14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An aggregate of 465,000 long-term equity performance and incentive restricted stock unit awards were granted to our Named Executive Officers in August 2013. Of the long-term incentive restricted stock units awarded, 70% are performance-based and will vest annually during a five-year performance period. In September 2014, our Named Executive Officers vested in 12% of the performance-based awards due to United’s fourth quarter 2013 earnings per share exceeding the targeted earnings per share level as well as 12% of the time-based awards. In January 2015, our Named Executive Officers vested in 22% of the performance-based awards due to United’s return on assets exceeding the specified performance level for 2014. For years 2015 through 2017, one-third (22% of the original award) of the remaining unvested performance-based awards are eligible to vest annually in January 2016, 2017 and 2018 to the extent that United’s return on assets reaches specified threshold and target levels during the performance year. If the threshold level is achieved, 50% of the applicable performance-based restricted stock unit awards are eligible to vest. Between the threshold level and the maximum target level of 100%, these performance-based restricted stock unit awards are eligible to vest pro rata based on the level of performance. If performance is below the threshold level then the award is forfeited. The remaining 30% of the August 2013 long-term equity incentive restricted stock unit awards are time-based and will vest annually beginning in September 2014 and thereafter in August of 2015 through 2018.</w:t>
      </w:r>
    </w:p>
    <w:p>
      <w:pPr>
        <w:spacing w:after="0" w:line="1" w:lineRule="exact"/>
        <w:rPr>
          <w:rFonts w:ascii="Arial" w:cs="Arial" w:eastAsia="Arial" w:hAnsi="Arial"/>
          <w:sz w:val="22"/>
          <w:szCs w:val="22"/>
          <w:color w:val="auto"/>
          <w:vertAlign w:val="superscript"/>
        </w:rPr>
      </w:pPr>
    </w:p>
    <w:p>
      <w:pPr>
        <w:jc w:val="both"/>
        <w:ind w:left="1480" w:right="759" w:hanging="212"/>
        <w:spacing w:after="0" w:line="229" w:lineRule="auto"/>
        <w:tabs>
          <w:tab w:leader="none" w:pos="14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Included in this total are 75,000 restricted stock units granted to Mr. Harton when he joined United in 2012. One-half of these restricted stock units will vest in September 2015, the third anniversary of the grant date, and one-half will also vest in September 2015 due to United’s return on assets exceeding the specified performance level for 2014. The balance of the unvested restricted stock units relate to the August 2013 awards. See footnote 2.</w:t>
      </w:r>
    </w:p>
    <w:p>
      <w:pPr>
        <w:ind w:left="1480" w:right="759" w:hanging="212"/>
        <w:spacing w:after="0" w:line="203" w:lineRule="auto"/>
        <w:tabs>
          <w:tab w:leader="none" w:pos="14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market value is based on the closing price of United’s Common Stock at December 31, 2014 of $18.94, multiplied by the number of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-2254885</wp:posOffset>
            </wp:positionV>
            <wp:extent cx="12350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Compensation Plan Information at December 31, 2014</w:t>
      </w:r>
    </w:p>
    <w:p>
      <w:pPr>
        <w:spacing w:after="0" w:line="104"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2013 and stock options, restricted stock and other equity awards available to be granted in future years.</w:t>
      </w:r>
    </w:p>
    <w:p>
      <w:pPr>
        <w:spacing w:after="0" w:line="15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Available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Issuance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Options /</w:t>
            </w: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Options /</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14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Restricted Stock</w:t>
            </w:r>
          </w:p>
        </w:tc>
        <w:tc>
          <w:tcPr>
            <w:tcW w:w="128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Restricted Stock</w:t>
            </w:r>
          </w:p>
        </w:tc>
        <w:tc>
          <w:tcPr>
            <w:tcW w:w="11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9"/>
                <w:szCs w:val="19"/>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9"/>
                <w:szCs w:val="19"/>
                <w:color w:val="auto"/>
              </w:rPr>
            </w:pPr>
          </w:p>
        </w:tc>
        <w:tc>
          <w:tcPr>
            <w:tcW w:w="880" w:type="dxa"/>
            <w:vAlign w:val="bottom"/>
            <w:gridSpan w:val="2"/>
          </w:tcPr>
          <w:p>
            <w:pPr>
              <w:jc w:val="center"/>
              <w:ind w:right="240"/>
              <w:spacing w:after="0" w:line="230" w:lineRule="exact"/>
              <w:rPr>
                <w:sz w:val="20"/>
                <w:szCs w:val="20"/>
                <w:color w:val="auto"/>
              </w:rPr>
            </w:pPr>
            <w:r>
              <w:rPr>
                <w:rFonts w:ascii="Arial" w:cs="Arial" w:eastAsia="Arial" w:hAnsi="Arial"/>
                <w:sz w:val="14"/>
                <w:szCs w:val="14"/>
                <w:b w:val="1"/>
                <w:bCs w:val="1"/>
                <w:color w:val="auto"/>
                <w:w w:val="88"/>
              </w:rPr>
              <w:t>Plans</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00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1,142,756</w:t>
            </w:r>
          </w:p>
        </w:tc>
        <w:tc>
          <w:tcPr>
            <w:tcW w:w="14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$25.63</w:t>
            </w:r>
          </w:p>
        </w:tc>
        <w:tc>
          <w:tcPr>
            <w:tcW w:w="1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460,156</w:t>
            </w: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40" w:type="dxa"/>
            <w:vAlign w:val="bottom"/>
          </w:tcPr>
          <w:p>
            <w:pPr>
              <w:spacing w:after="0"/>
              <w:rPr>
                <w:sz w:val="22"/>
                <w:szCs w:val="2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1,142,756</w:t>
            </w:r>
          </w:p>
        </w:tc>
        <w:tc>
          <w:tcPr>
            <w:tcW w:w="14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25.63</w:t>
            </w: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460,156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-205105</wp:posOffset>
            </wp:positionV>
            <wp:extent cx="1631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-205105</wp:posOffset>
            </wp:positionV>
            <wp:extent cx="46564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56455"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-548005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-548005</wp:posOffset>
            </wp:positionV>
            <wp:extent cx="36963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45" w:lineRule="exact"/>
        <w:rPr>
          <w:sz w:val="20"/>
          <w:szCs w:val="20"/>
          <w:color w:val="auto"/>
        </w:rPr>
      </w:pPr>
    </w:p>
    <w:p>
      <w:pPr>
        <w:ind w:left="1480" w:right="759" w:hanging="212"/>
        <w:spacing w:after="0" w:line="191" w:lineRule="auto"/>
        <w:tabs>
          <w:tab w:leader="none" w:pos="14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Represents the number of stock options, restricted stock and other equity awards available to be granted in future years under the existing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-231140</wp:posOffset>
            </wp:positionV>
            <wp:extent cx="1235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presents selective retirement benefit information for 2014 for each Named Executive Officer that was a participant in the Modified Retirement Plan.</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PENSION BENEFITS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Present Value</w:t>
            </w:r>
          </w:p>
        </w:tc>
        <w:tc>
          <w:tcPr>
            <w:tcW w:w="112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Years of</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r>
      <w:tr>
        <w:trPr>
          <w:trHeight w:val="162"/>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Credited</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r>
      <w:tr>
        <w:trPr>
          <w:trHeight w:val="192"/>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Plan Name</w:t>
            </w: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Service</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Tallent</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Modified Retirement Plan</w:t>
            </w:r>
          </w:p>
        </w:tc>
        <w:tc>
          <w:tcPr>
            <w:tcW w:w="9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$1,932,795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Modified Retirement Plan</w:t>
            </w:r>
          </w:p>
        </w:tc>
        <w:tc>
          <w:tcPr>
            <w:tcW w:w="980" w:type="dxa"/>
            <w:vAlign w:val="bottom"/>
          </w:tcPr>
          <w:p>
            <w:pPr>
              <w:jc w:val="right"/>
              <w:ind w:right="31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198,515</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Modified Retirement Plan</w:t>
            </w:r>
          </w:p>
        </w:tc>
        <w:tc>
          <w:tcPr>
            <w:tcW w:w="9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1,686,699</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Modified Retirement Plan</w:t>
            </w:r>
          </w:p>
        </w:tc>
        <w:tc>
          <w:tcPr>
            <w:tcW w:w="980" w:type="dxa"/>
            <w:vAlign w:val="bottom"/>
          </w:tcPr>
          <w:p>
            <w:pPr>
              <w:jc w:val="right"/>
              <w:ind w:right="318"/>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498,204</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Gilbert</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Modified Retirement Plan</w:t>
            </w:r>
          </w:p>
        </w:tc>
        <w:tc>
          <w:tcPr>
            <w:tcW w:w="9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680,725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-728345</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-728345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-728345</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-728345</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are calculated based on an officer’s seniority and position, and generally range from 20% to 40% of base salary. The normal retirement age defined in the plan is age 65 and the completion of five years of service.</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15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NONQUALIFIED DEFERRED COMPENSATION — ACTIVITY FOR 2014</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78"/>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Executive</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88"/>
              </w:rPr>
              <w:t>(1)</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(2)</w:t>
            </w:r>
          </w:p>
        </w:tc>
        <w:tc>
          <w:tcPr>
            <w:tcW w:w="2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Account</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Withdrawals/</w:t>
            </w: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Contributions</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Contributions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Distributions</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214"/>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Tallent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$ 269,580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$175,895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$1,555,498</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860" w:type="dxa"/>
            <w:vAlign w:val="bottom"/>
          </w:tcPr>
          <w:p>
            <w:pPr>
              <w:jc w:val="right"/>
              <w:spacing w:after="0"/>
              <w:rPr>
                <w:sz w:val="20"/>
                <w:szCs w:val="20"/>
                <w:color w:val="auto"/>
              </w:rPr>
            </w:pPr>
            <w:r>
              <w:rPr>
                <w:rFonts w:ascii="Arial" w:cs="Arial" w:eastAsia="Arial" w:hAnsi="Arial"/>
                <w:sz w:val="18"/>
                <w:szCs w:val="18"/>
                <w:color w:val="auto"/>
              </w:rPr>
              <w:t>344,062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12,554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367,116</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Schuette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55,070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720,294</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860" w:type="dxa"/>
            <w:vAlign w:val="bottom"/>
          </w:tcPr>
          <w:p>
            <w:pPr>
              <w:jc w:val="right"/>
              <w:spacing w:after="0"/>
              <w:rPr>
                <w:sz w:val="20"/>
                <w:szCs w:val="20"/>
                <w:color w:val="auto"/>
              </w:rPr>
            </w:pPr>
            <w:r>
              <w:rPr>
                <w:rFonts w:ascii="Arial" w:cs="Arial" w:eastAsia="Arial" w:hAnsi="Arial"/>
                <w:sz w:val="18"/>
                <w:szCs w:val="18"/>
                <w:color w:val="auto"/>
              </w:rPr>
              <w:t>243,480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56,460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718,673</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Gilbert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-719455</wp:posOffset>
            </wp:positionV>
            <wp:extent cx="137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-719455</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-719455</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-719455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-719455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8" w:lineRule="exact"/>
        <w:rPr>
          <w:sz w:val="20"/>
          <w:szCs w:val="20"/>
          <w:color w:val="auto"/>
        </w:rPr>
      </w:pPr>
    </w:p>
    <w:p>
      <w:pPr>
        <w:ind w:left="1480" w:right="759" w:hanging="212"/>
        <w:spacing w:after="0" w:line="192" w:lineRule="auto"/>
        <w:tabs>
          <w:tab w:leader="none" w:pos="148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All executive contributions, as applicable, are included in the amounts under the column heading “Salary” and “Stock awards” during the year of grant in the “Summary Compensation Table.”</w:t>
      </w:r>
    </w:p>
    <w:p>
      <w:pPr>
        <w:spacing w:after="0" w:line="1" w:lineRule="exact"/>
        <w:rPr>
          <w:rFonts w:ascii="Arial" w:cs="Arial" w:eastAsia="Arial" w:hAnsi="Arial"/>
          <w:sz w:val="19"/>
          <w:szCs w:val="19"/>
          <w:color w:val="auto"/>
          <w:vertAlign w:val="superscript"/>
        </w:rPr>
      </w:pPr>
    </w:p>
    <w:p>
      <w:pPr>
        <w:ind w:left="1480" w:right="759" w:hanging="212"/>
        <w:spacing w:after="0" w:line="200" w:lineRule="auto"/>
        <w:tabs>
          <w:tab w:leader="none" w:pos="148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All company contributions are included in the amounts under the column heading “All other compensation” in the “Summary Compensation Table.”</w:t>
      </w:r>
    </w:p>
    <w:p>
      <w:pPr>
        <w:spacing w:after="0" w:line="93"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7"/>
          <w:szCs w:val="17"/>
          <w:b w:val="1"/>
          <w:bCs w:val="1"/>
          <w:i w:val="1"/>
          <w:iCs w:val="1"/>
          <w:color w:val="auto"/>
        </w:rPr>
        <w:t>401(k) Plan</w:t>
      </w:r>
      <w:r>
        <w:rPr>
          <w:rFonts w:ascii="Arial" w:cs="Arial" w:eastAsia="Arial" w:hAnsi="Arial"/>
          <w:sz w:val="17"/>
          <w:szCs w:val="17"/>
          <w:color w:val="auto"/>
        </w:rPr>
        <w:t>”) if such matching contributions would otherwise exceed the maximum allowable amounts under the 401(k) Plan and matching of deferred bonuses fifty cents per dollar up to 5% of bonus or non-equity incentive compensation award subject to the same vesting provisions of the 401(k) Plan. Although the Deferred Compensation Plan allows the Board of Directors to make discretionary</w:t>
      </w:r>
    </w:p>
    <w:p>
      <w:pPr>
        <w:sectPr>
          <w:pgSz w:w="11900" w:h="16838" w:orient="portrait"/>
          <w:cols w:equalWidth="0" w:num="1">
            <w:col w:w="10219"/>
          </w:cols>
          <w:pgMar w:left="240" w:top="131" w:right="1440" w:bottom="1440" w:gutter="0" w:footer="0" w:header="0"/>
        </w:sect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contributions to the account of employee participants, the Board did not make any such discretionary contribution during 2014. See “Compensation Discussion &amp; Analysis” for additional information. The Deferred Compensation Plan also provides for the deferral of up to 100% of director fees for service by a non-employee director on the Board of United or any subsidiary or community bank.</w:t>
      </w:r>
    </w:p>
    <w:p>
      <w:pPr>
        <w:spacing w:after="0" w:line="7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plan are not known at this time.</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lump sum and installment payments are taxable to the participant.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Messrs. Tallent, Harton, Schuette, Shearrow and Gilbert have each entered into Amended and Restated Change in Control Severance Agreements (the “</w:t>
      </w:r>
      <w:r>
        <w:rPr>
          <w:rFonts w:ascii="Arial" w:cs="Arial" w:eastAsia="Arial" w:hAnsi="Arial"/>
          <w:sz w:val="18"/>
          <w:szCs w:val="18"/>
          <w:b w:val="1"/>
          <w:bCs w:val="1"/>
          <w:i w:val="1"/>
          <w:iCs w:val="1"/>
          <w:color w:val="auto"/>
        </w:rPr>
        <w:t>Severance Agreements</w:t>
      </w:r>
      <w:r>
        <w:rPr>
          <w:rFonts w:ascii="Arial" w:cs="Arial" w:eastAsia="Arial" w:hAnsi="Arial"/>
          <w:sz w:val="18"/>
          <w:szCs w:val="18"/>
          <w:color w:val="auto"/>
        </w:rPr>
        <w:t>”) with United. The Severance Agreements remain in effect until the earlier of the termination of such executive’s employment without entitlement to the benefits under the Severance Agreements or retirement, unless earlier terminated by mutual written agreement of the executive and United.</w:t>
      </w:r>
    </w:p>
    <w:p>
      <w:pPr>
        <w:spacing w:after="0" w:line="8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 xml:space="preserve">The Severance Agreements provide for payment of compensation and benefits to the executive in the event of a “Change in Control” of United if the executive’s employment is involuntarily terminated by United without “Cause” or if the executive terminates his employment for “Good Reason.” Meaning, the agreements have a “double trigger,” and we would make payments only upon a Change in Control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only if we terminate an executive without Cause or the executive terminates for Good Reason. The executive is not entitled to compensation or payments pursuant to his Severance Agreement if he is terminated by United for Cause, dies, incurs a disability, or voluntarily terminates employment (other than for Good Reason). If a Change in Control occurs during the term of the applicable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applicable Severance Agreement, for a period of 24 or 36 months from the date of his termination.</w:t>
      </w:r>
    </w:p>
    <w:p>
      <w:pPr>
        <w:spacing w:after="0" w:line="6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Severance Agreements provide that the compensation and benefits provided for under the Severance Agreements shall be reduced or modified so that such payments will not be considered excess severance payments under Section 280G of the Internal Revenue Code. Otherwise, the payments are not reduced. If a reduction is necessary, the Severance Agreements would allow the executive to choose the manner in which the payments would be modified so long as the total payments are capped to avoid being treated as an excess severance payment. The Severance Agreements are intended to ensure that the payment of any compensation or benefits under the Severance Agreement would comply with Section 409A of the Internal Revenue Code.</w:t>
      </w:r>
    </w:p>
    <w:p>
      <w:pPr>
        <w:spacing w:after="0" w:line="59"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United entered into an employment agreement with Mr. Harton when he joined United in 2012 that provides for a three-year term that will expire on September 13, 2015. The employment agreement generally provides that, if Mr. Harton is terminated at any time by United without Cause, or Mr. Harton terminates his employment with United for Good Reason, Mr. Harton will receive an amount equal to two times his annual base salary. The employment agreement also includes covenants by Mr. Harton not to compete with United for a period of one year and not to solicit its customers or prospective customers or employees for a period of two years after the termination of his employment for any reason. “Cause” with respect to termination by United of Mr. Harton is generally defined as a material breach of the terms of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employment agreement by Mr. Harton, conduct that amounts to fraud, dishonesty or misappropriation, commission of certain crimes, or the failure by Mr. Harton to perform his duties. Mr. Harton would have a “Good Reason” for termination of his employment agreement if at any time neither Mr. Tallent nor Mr. Harton is serving as the President or the Chief Executive Officer of the Bank (and thus other people fill both such positions). Because Mr. Tallent is the Chief Executive Officer of the Bank and Mr. Harton was named President and Chief Operating Officer of the Bank in 2013, this provision would not currently be triggered if he terminated his employment.</w:t>
      </w:r>
    </w:p>
    <w:p>
      <w:pPr>
        <w:spacing w:after="0" w:line="81"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None of the Severance Agreements or employment agreements provide for the payment of any taxes or a gross-up of payments to pay any taxes in the event any of the compensation or benefits were considered to be an excess severance payment under Section 280G of the Internal Revenue Code.</w:t>
      </w:r>
    </w:p>
    <w:p>
      <w:pPr>
        <w:spacing w:after="0" w:line="5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March 2015, all of the Severance Agreements, other than the Severance Agreement with Mr. Shearrow who retired as of January 31, 2015, were amended to add a “best after-tax” provision. As a result, the executives will receive the full payments provided under the Severance Agreements and have the responsibility for any excise tax, or such payments are reduced or modified so that they will not be considered “excess severance payments” under Section 280G of the Internal Revenue Code, whichever will put the executives in the best after-tax position with the most compensation and income. No amendments have been made to any other agreements with the Named Executive Officers, including the employment agreement with Mr. Harton.</w:t>
      </w:r>
    </w:p>
    <w:p>
      <w:pPr>
        <w:spacing w:after="0" w:line="5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outlines the compensation payable to the Named Executive Officers, assuming separation from service on December 31, 2014, under various termination scenarios:</w:t>
      </w:r>
    </w:p>
    <w:p>
      <w:pPr>
        <w:spacing w:after="0" w:line="9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Termination by</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Termination by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United Without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United Without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Termination</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Cause or by</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Cause or by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by United for</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Executive for</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Executive for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Cause or by</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Good Reason</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Good Reason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Prior to</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Following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Without</w:t>
            </w:r>
          </w:p>
        </w:tc>
        <w:tc>
          <w:tcPr>
            <w:tcW w:w="160" w:type="dxa"/>
            <w:vAlign w:val="bottom"/>
          </w:tcPr>
          <w:p>
            <w:pPr>
              <w:spacing w:after="0"/>
              <w:rPr>
                <w:sz w:val="13"/>
                <w:szCs w:val="13"/>
                <w:color w:val="auto"/>
              </w:rPr>
            </w:pPr>
          </w:p>
        </w:tc>
        <w:tc>
          <w:tcPr>
            <w:tcW w:w="10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Change in</w:t>
            </w: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Change in</w:t>
            </w:r>
          </w:p>
        </w:tc>
        <w:tc>
          <w:tcPr>
            <w:tcW w:w="1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880" w:type="dxa"/>
            <w:vAlign w:val="bottom"/>
            <w:gridSpan w:val="2"/>
          </w:tcPr>
          <w:p>
            <w:pPr>
              <w:jc w:val="center"/>
              <w:ind w:right="198"/>
              <w:spacing w:after="0" w:line="158" w:lineRule="exact"/>
              <w:rPr>
                <w:sz w:val="20"/>
                <w:szCs w:val="20"/>
                <w:color w:val="auto"/>
              </w:rPr>
            </w:pPr>
            <w:r>
              <w:rPr>
                <w:rFonts w:ascii="Arial" w:cs="Arial" w:eastAsia="Arial" w:hAnsi="Arial"/>
                <w:sz w:val="14"/>
                <w:szCs w:val="14"/>
                <w:b w:val="1"/>
                <w:bCs w:val="1"/>
                <w:color w:val="auto"/>
                <w:w w:val="90"/>
              </w:rPr>
              <w:t>due to</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Good Reason</w:t>
            </w:r>
          </w:p>
        </w:tc>
        <w:tc>
          <w:tcPr>
            <w:tcW w:w="1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Control</w:t>
            </w:r>
          </w:p>
        </w:tc>
        <w:tc>
          <w:tcPr>
            <w:tcW w:w="1180" w:type="dxa"/>
            <w:vAlign w:val="bottom"/>
            <w:gridSpan w:val="2"/>
          </w:tcPr>
          <w:p>
            <w:pPr>
              <w:jc w:val="center"/>
              <w:ind w:right="220"/>
              <w:spacing w:after="0" w:line="216" w:lineRule="exact"/>
              <w:rPr>
                <w:sz w:val="20"/>
                <w:szCs w:val="20"/>
                <w:color w:val="auto"/>
              </w:rPr>
            </w:pPr>
            <w:r>
              <w:rPr>
                <w:rFonts w:ascii="Arial" w:cs="Arial" w:eastAsia="Arial" w:hAnsi="Arial"/>
                <w:sz w:val="14"/>
                <w:szCs w:val="14"/>
                <w:b w:val="1"/>
                <w:bCs w:val="1"/>
                <w:color w:val="auto"/>
                <w:w w:val="89"/>
              </w:rPr>
              <w:t>Control</w:t>
            </w:r>
            <w:r>
              <w:rPr>
                <w:rFonts w:ascii="Arial" w:cs="Arial" w:eastAsia="Arial" w:hAnsi="Arial"/>
                <w:sz w:val="21"/>
                <w:szCs w:val="21"/>
                <w:b w:val="1"/>
                <w:bCs w:val="1"/>
                <w:color w:val="auto"/>
                <w:w w:val="89"/>
                <w:vertAlign w:val="superscript"/>
              </w:rPr>
              <w:t>(1)</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due to Death</w:t>
            </w:r>
          </w:p>
        </w:tc>
        <w:tc>
          <w:tcPr>
            <w:tcW w:w="100" w:type="dxa"/>
            <w:vAlign w:val="bottom"/>
          </w:tcPr>
          <w:p>
            <w:pPr>
              <w:spacing w:after="0"/>
              <w:rPr>
                <w:sz w:val="18"/>
                <w:szCs w:val="18"/>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4"/>
                <w:szCs w:val="14"/>
                <w:b w:val="1"/>
                <w:bCs w:val="1"/>
                <w:color w:val="auto"/>
                <w:w w:val="93"/>
              </w:rPr>
              <w:t>Disability</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Tallent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2,500,080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$4,955,354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1,250,040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Mr. Harton</w:t>
            </w:r>
          </w:p>
        </w:tc>
        <w:tc>
          <w:tcPr>
            <w:tcW w:w="2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16" w:lineRule="exact"/>
              <w:rPr>
                <w:sz w:val="20"/>
                <w:szCs w:val="20"/>
                <w:color w:val="auto"/>
              </w:rPr>
            </w:pPr>
            <w:r>
              <w:rPr>
                <w:rFonts w:ascii="Arial" w:cs="Arial" w:eastAsia="Arial" w:hAnsi="Arial"/>
                <w:sz w:val="17"/>
                <w:szCs w:val="17"/>
                <w:color w:val="auto"/>
                <w:w w:val="91"/>
              </w:rPr>
              <w:t>4,263,365</w:t>
            </w:r>
            <w:r>
              <w:rPr>
                <w:rFonts w:ascii="Arial" w:cs="Arial" w:eastAsia="Arial" w:hAnsi="Arial"/>
                <w:sz w:val="25"/>
                <w:szCs w:val="25"/>
                <w:color w:val="auto"/>
                <w:w w:val="91"/>
                <w:vertAlign w:val="superscript"/>
              </w:rPr>
              <w:t>(2)</w:t>
            </w:r>
          </w:p>
        </w:tc>
        <w:tc>
          <w:tcPr>
            <w:tcW w:w="960" w:type="dxa"/>
            <w:vAlign w:val="bottom"/>
          </w:tcPr>
          <w:p>
            <w:pPr>
              <w:ind w:left="60"/>
              <w:spacing w:after="0"/>
              <w:rPr>
                <w:sz w:val="20"/>
                <w:szCs w:val="20"/>
                <w:color w:val="auto"/>
              </w:rPr>
            </w:pPr>
            <w:r>
              <w:rPr>
                <w:rFonts w:ascii="Arial" w:cs="Arial" w:eastAsia="Arial" w:hAnsi="Arial"/>
                <w:sz w:val="18"/>
                <w:szCs w:val="18"/>
                <w:color w:val="auto"/>
                <w:w w:val="97"/>
              </w:rPr>
              <w:t>$5,434,286</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1,663,311</w:t>
            </w:r>
          </w:p>
        </w:tc>
        <w:tc>
          <w:tcPr>
            <w:tcW w:w="2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1,861,826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Mr. Schuette</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1,158,730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$2,407,903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289,593</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Mr. Shearrow</w:t>
            </w:r>
          </w:p>
        </w:tc>
        <w:tc>
          <w:tcPr>
            <w:tcW w:w="2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30" w:lineRule="exact"/>
              <w:rPr>
                <w:sz w:val="20"/>
                <w:szCs w:val="20"/>
                <w:color w:val="auto"/>
              </w:rPr>
            </w:pPr>
            <w:r>
              <w:rPr>
                <w:rFonts w:ascii="Arial" w:cs="Arial" w:eastAsia="Arial" w:hAnsi="Arial"/>
                <w:sz w:val="17"/>
                <w:szCs w:val="17"/>
                <w:color w:val="auto"/>
                <w:w w:val="90"/>
              </w:rPr>
              <w:t>1,158,730</w:t>
            </w:r>
            <w:r>
              <w:rPr>
                <w:rFonts w:ascii="Arial" w:cs="Arial" w:eastAsia="Arial" w:hAnsi="Arial"/>
                <w:sz w:val="26"/>
                <w:szCs w:val="26"/>
                <w:color w:val="auto"/>
                <w:w w:val="90"/>
                <w:vertAlign w:val="superscript"/>
              </w:rPr>
              <w:t>(3)</w:t>
            </w:r>
          </w:p>
        </w:tc>
        <w:tc>
          <w:tcPr>
            <w:tcW w:w="1180" w:type="dxa"/>
            <w:vAlign w:val="bottom"/>
            <w:gridSpan w:val="2"/>
          </w:tcPr>
          <w:p>
            <w:pPr>
              <w:ind w:left="60"/>
              <w:spacing w:after="0" w:line="230" w:lineRule="exact"/>
              <w:rPr>
                <w:sz w:val="20"/>
                <w:szCs w:val="20"/>
                <w:color w:val="auto"/>
              </w:rPr>
            </w:pPr>
            <w:r>
              <w:rPr>
                <w:rFonts w:ascii="Arial" w:cs="Arial" w:eastAsia="Arial" w:hAnsi="Arial"/>
                <w:sz w:val="17"/>
                <w:szCs w:val="17"/>
                <w:color w:val="auto"/>
              </w:rPr>
              <w:t>$2,390,217</w:t>
            </w:r>
            <w:r>
              <w:rPr>
                <w:rFonts w:ascii="Arial" w:cs="Arial" w:eastAsia="Arial" w:hAnsi="Arial"/>
                <w:sz w:val="26"/>
                <w:szCs w:val="26"/>
                <w:color w:val="auto"/>
                <w:vertAlign w:val="superscript"/>
              </w:rPr>
              <w:t>(3)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30" w:lineRule="exact"/>
              <w:rPr>
                <w:sz w:val="20"/>
                <w:szCs w:val="20"/>
                <w:color w:val="auto"/>
              </w:rPr>
            </w:pPr>
            <w:r>
              <w:rPr>
                <w:rFonts w:ascii="Arial" w:cs="Arial" w:eastAsia="Arial" w:hAnsi="Arial"/>
                <w:sz w:val="17"/>
                <w:szCs w:val="17"/>
                <w:color w:val="auto"/>
              </w:rPr>
              <w:t>289,593</w:t>
            </w:r>
            <w:r>
              <w:rPr>
                <w:rFonts w:ascii="Arial" w:cs="Arial" w:eastAsia="Arial" w:hAnsi="Arial"/>
                <w:sz w:val="26"/>
                <w:szCs w:val="26"/>
                <w:color w:val="auto"/>
                <w:vertAlign w:val="superscript"/>
              </w:rPr>
              <w:t>(3)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787,797</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Mr. Gilbert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666,688</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$1,615,797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-719455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-719455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-719455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-719455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-719455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5" w:lineRule="exact"/>
        <w:rPr>
          <w:sz w:val="20"/>
          <w:szCs w:val="20"/>
          <w:color w:val="auto"/>
        </w:rPr>
      </w:pPr>
    </w:p>
    <w:p>
      <w:pPr>
        <w:jc w:val="both"/>
        <w:ind w:left="1480" w:right="739" w:hanging="212"/>
        <w:spacing w:after="0" w:line="234" w:lineRule="auto"/>
        <w:tabs>
          <w:tab w:leader="none" w:pos="148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Represents all compensation that would become due as the result of a change in control on December 31, 2014, including severance payments, bonuses, restricted stock unit awards, COBRA premiums and expenses, and other miscellaneous items, such as life insurance premiums, auto allowances and club dues provided for under applicable award and employment agreements. Also included are amounts that would become due under the Modified Retirement Plan in the event of a change in control. United’s Severance Agreements in effect as of December 31, 2014 provided that the compensation and benefits provided for under the Severance Agreements shall be reduced or modified so that such payments will not be considered excess severance payments under Section 280G of the Internal Revenue Code. Otherwise, the payments are not reduced. These reductions were applied dollar-to-dollar, first to cash compensation, so as to not reduce any portion of equity compensation. Each executive’s Change in Control Agreement, other than Mr. Shearrow who retired as of January 31, 2015, was amended in March 2015 to add best after-tax provisions. As a result, the current Severance Agreements now provide that the compensation and benefits provided for under the Severance Agreements shall be reduced or modified so that such payments will not be considered excess severance payments under Section 280G of the Internal Revenue Code if such reduction will allow the executive to receive a greater net after tax amount than such executive would receive absent such reduction. Otherwise, the payments are not reduced. Had the current Severance Agreements been in effect as of December 31, 2014, the following amounts would have been payable to the executives: Mr. Tallent — $5,852,619, Mr. Harton — $7,140,932, Mr. Schuette — $2,932,741, Mr. Shearrow — $2,899,520 and Mr. Gilbert — $1,615,797.</w:t>
      </w:r>
    </w:p>
    <w:p>
      <w:pPr>
        <w:ind w:left="1480" w:right="759" w:hanging="212"/>
        <w:spacing w:after="0" w:line="200" w:lineRule="auto"/>
        <w:tabs>
          <w:tab w:leader="none" w:pos="14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 the event of a termination without cause or for good reason, Mr. Harton’s employment agreement awards him two times his base salary ($475,000) then in effect (totaling $950,000).</w:t>
      </w:r>
    </w:p>
    <w:p>
      <w:pPr>
        <w:ind w:left="1480" w:right="759" w:hanging="212"/>
        <w:spacing w:after="0" w:line="203" w:lineRule="auto"/>
        <w:tabs>
          <w:tab w:leader="none" w:pos="14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Because Mr. Shearrow retired as of January 31, 2015, he is no longer entitled to any of these awards in connection with a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-1894840</wp:posOffset>
            </wp:positionV>
            <wp:extent cx="12350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United has no other employment or severance agreements with any of its Named Executive Officers. Therefore, except as described above, no severance benefit is payable and there is no continuation of benefit coverage in the event of a Named Executive Officer’s voluntary or involuntary termination, retirement, disability, or death.</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United’s objective with director compensation is to provide a competitive compensation package to attract top talent to United’s Board of Directors. Each non-employee director receives an annual retainer of $25,000 in cash and an annual equity grant valued at $25,000 in the form of restricted stock units with a one-year vesting period. The Chairman of the Board receives an additional annual retainer of $25,000 paid in cash. Audit Committee and Risk Committee members receive an additional annual retainer of $4,000 paid in cash. The Audit Committee and Risk Committee Chairs each receive an additional cash annual retainer of $10,000 and the Compensation Committee Chair receives an additional cash annual retainer of $5,000. The cash retainer fees are paid quarterly and the equity portion is granted once annually.</w:t>
      </w:r>
    </w:p>
    <w:p>
      <w:pPr>
        <w:spacing w:after="0" w:line="71"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3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annual retainer fees are payable in cash or may be deferred pursuant to United’s Deferred Compensation Plan. In 2014, director Goldstein elected to defer his retainer and meeting fees.</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to the retainer fees, United reimburses the non-employee directors for their travel expenses incurred in attending meetings of the Board or its committees, as well as for fees and expenses incurred in attending director education seminars and conferences. The following table presents a summary of non-employee director compensation for 2014:</w:t>
      </w:r>
    </w:p>
    <w:p>
      <w:pPr>
        <w:spacing w:after="0" w:line="16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Deferred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Fees Earned or</w:t>
            </w:r>
          </w:p>
        </w:tc>
        <w:tc>
          <w:tcPr>
            <w:tcW w:w="860" w:type="dxa"/>
            <w:vAlign w:val="bottom"/>
            <w:gridSpan w:val="2"/>
          </w:tcPr>
          <w:p>
            <w:pPr>
              <w:ind w:left="200"/>
              <w:spacing w:after="0" w:line="178"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20"/>
                <w:szCs w:val="20"/>
                <w:b w:val="1"/>
                <w:bCs w:val="1"/>
                <w:color w:val="auto"/>
                <w:vertAlign w:val="subscript"/>
              </w:rPr>
              <w:t>(1)</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Compensation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(2)</w:t>
            </w:r>
          </w:p>
        </w:tc>
        <w:tc>
          <w:tcPr>
            <w:tcW w:w="200" w:type="dxa"/>
            <w:vAlign w:val="bottom"/>
          </w:tcPr>
          <w:p>
            <w:pPr>
              <w:spacing w:after="0"/>
              <w:rPr>
                <w:sz w:val="15"/>
                <w:szCs w:val="15"/>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40" w:type="dxa"/>
            <w:vAlign w:val="bottom"/>
            <w:gridSpan w:val="2"/>
            <w:vMerge w:val="continue"/>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Paid in Cash</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 Nelson, Jr.</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$ 50,000</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$ 12,392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$87,395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33,000</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20,517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78,520</w:t>
            </w: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Clifford V. Brokaw</w:t>
            </w:r>
            <w:r>
              <w:rPr>
                <w:rFonts w:ascii="Arial" w:cs="Arial" w:eastAsia="Arial" w:hAnsi="Arial"/>
                <w:sz w:val="27"/>
                <w:szCs w:val="27"/>
                <w:color w:val="auto"/>
                <w:vertAlign w:val="superscript"/>
              </w:rPr>
              <w:t>(3)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38,000</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63,395</w:t>
            </w: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Goldstein</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43,000</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3,430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18"/>
                <w:szCs w:val="18"/>
                <w:color w:val="auto"/>
              </w:rPr>
              <w:t>Thomas A. Richlovsky</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43,000</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68,395</w:t>
            </w: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R. Wallis</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56,395</w:t>
            </w:r>
          </w:p>
        </w:tc>
        <w:tc>
          <w:tcPr>
            <w:tcW w:w="0" w:type="dxa"/>
            <w:vAlign w:val="bottom"/>
          </w:tcPr>
          <w:p>
            <w:pPr>
              <w:spacing w:after="0"/>
              <w:rPr>
                <w:sz w:val="1"/>
                <w:szCs w:val="1"/>
                <w:color w:val="auto"/>
              </w:rPr>
            </w:pPr>
          </w:p>
        </w:tc>
      </w:tr>
      <w:tr>
        <w:trPr>
          <w:trHeight w:val="356"/>
        </w:trPr>
        <w:tc>
          <w:tcPr>
            <w:tcW w:w="3240" w:type="dxa"/>
            <w:vAlign w:val="bottom"/>
            <w:gridSpan w:val="2"/>
          </w:tcPr>
          <w:p>
            <w:pPr>
              <w:spacing w:after="0"/>
              <w:rPr>
                <w:sz w:val="20"/>
                <w:szCs w:val="20"/>
                <w:color w:val="auto"/>
              </w:rPr>
            </w:pPr>
            <w:r>
              <w:rPr>
                <w:rFonts w:ascii="Arial" w:cs="Arial" w:eastAsia="Arial" w:hAnsi="Arial"/>
                <w:sz w:val="18"/>
                <w:szCs w:val="18"/>
                <w:color w:val="auto"/>
              </w:rPr>
              <w:t>Robert L. Head, Jr.</w:t>
            </w:r>
            <w:r>
              <w:rPr>
                <w:rFonts w:ascii="Arial" w:cs="Arial" w:eastAsia="Arial" w:hAnsi="Arial"/>
                <w:sz w:val="27"/>
                <w:szCs w:val="27"/>
                <w:color w:val="auto"/>
                <w:vertAlign w:val="superscript"/>
              </w:rPr>
              <w:t>(4)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-1383030</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-1383030</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-1383030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-1383030</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-1383030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117475</wp:posOffset>
            </wp:positionV>
            <wp:extent cx="12350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7" w:lineRule="exact"/>
        <w:rPr>
          <w:sz w:val="20"/>
          <w:szCs w:val="20"/>
          <w:color w:val="auto"/>
        </w:rPr>
      </w:pPr>
    </w:p>
    <w:p>
      <w:pPr>
        <w:ind w:left="1480" w:right="759" w:hanging="212"/>
        <w:spacing w:after="0" w:line="191" w:lineRule="auto"/>
        <w:tabs>
          <w:tab w:leader="none" w:pos="14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Each non-employee director was granted 1,631 restricted stock units on May 14, 2014. The restricted stock units were valued at $15.33 per share, the price of United’s Common Stock on the date of grant. The restricted stock units will vest on May 14, 2015.</w:t>
      </w:r>
    </w:p>
    <w:p>
      <w:pPr>
        <w:spacing w:after="0" w:line="8" w:lineRule="exact"/>
        <w:rPr>
          <w:rFonts w:ascii="Arial" w:cs="Arial" w:eastAsia="Arial" w:hAnsi="Arial"/>
          <w:sz w:val="22"/>
          <w:szCs w:val="22"/>
          <w:color w:val="auto"/>
          <w:vertAlign w:val="superscript"/>
        </w:rPr>
      </w:pPr>
    </w:p>
    <w:p>
      <w:pPr>
        <w:ind w:left="1480" w:right="759" w:hanging="212"/>
        <w:spacing w:after="0" w:line="207" w:lineRule="auto"/>
        <w:tabs>
          <w:tab w:leader="none" w:pos="14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Represents fees paid to directors for serving on one or more of United’s subsidiary or community bank boards of directors and dividends paid on restricted stock units.</w:t>
      </w:r>
    </w:p>
    <w:p>
      <w:pPr>
        <w:ind w:left="1480" w:hanging="212"/>
        <w:spacing w:after="0" w:line="205" w:lineRule="auto"/>
        <w:tabs>
          <w:tab w:leader="none" w:pos="14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Mr. Brokaw did not accept any compensation for serving on United’s board during 2014.</w:t>
      </w:r>
    </w:p>
    <w:p>
      <w:pPr>
        <w:spacing w:after="0" w:line="45" w:lineRule="exact"/>
        <w:rPr>
          <w:rFonts w:ascii="Arial" w:cs="Arial" w:eastAsia="Arial" w:hAnsi="Arial"/>
          <w:sz w:val="22"/>
          <w:szCs w:val="22"/>
          <w:color w:val="auto"/>
          <w:vertAlign w:val="superscript"/>
        </w:rPr>
      </w:pPr>
    </w:p>
    <w:p>
      <w:pPr>
        <w:jc w:val="both"/>
        <w:ind w:left="1480" w:right="739" w:hanging="212"/>
        <w:spacing w:after="0" w:line="242" w:lineRule="auto"/>
        <w:tabs>
          <w:tab w:leader="none" w:pos="148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color w:val="auto"/>
        </w:rPr>
        <w:t>Mr. Head retired from United’s board effective May 22, 2013, the date of the 2013 Annual Meeting. Following his retirement from United’s board, Mr. Head has continued to serve on one of United’s community bank boards of directors and was elected by United’s board to serve as Director Emeritus. Mr. Head did not accept any compensation for serving as Director Emeritus during 2014.</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57"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L. Cathy Cox, Chairman</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Clifford V. Brokaw</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Steven J. Goldstein</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W.C. Nelson, Jr.</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Thomas A. Richlovsky</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Tim R. Wallis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108" w:lineRule="exact"/>
        <w:rPr>
          <w:sz w:val="20"/>
          <w:szCs w:val="20"/>
          <w:color w:val="auto"/>
        </w:rPr>
      </w:pPr>
    </w:p>
    <w:p>
      <w:pPr>
        <w:jc w:val="both"/>
        <w:ind w:left="1260" w:right="1260" w:firstLine="360"/>
        <w:spacing w:after="0" w:line="291" w:lineRule="auto"/>
        <w:rPr>
          <w:sz w:val="20"/>
          <w:szCs w:val="20"/>
          <w:color w:val="auto"/>
        </w:rPr>
      </w:pPr>
      <w:r>
        <w:rPr>
          <w:rFonts w:ascii="Arial" w:cs="Arial" w:eastAsia="Arial" w:hAnsi="Arial"/>
          <w:sz w:val="16"/>
          <w:szCs w:val="16"/>
          <w:color w:val="auto"/>
        </w:rPr>
        <w:t>The following table sets forth information regarding beneficial ownership of United’s voting securities. Unless otherwise indicated, the information presented is as of March 14, 2015 and is based on 50,219,137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March 14, 2015, unless otherwise indicated, through the exercise of any stock option or other right, and any shares that are pledged as security pursuant to various financial obligations. The table sets forth such information with respect to:</w:t>
      </w:r>
    </w:p>
    <w:p>
      <w:pPr>
        <w:spacing w:after="0" w:line="140"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our voting securities;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17"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voting securities beneficially owned by such shareholder.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Shares of</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Issuable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Under the</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Stock Owned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Deferred</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Directly or</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Within 60</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Owned Restricted</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Indirectly</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Days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Plan</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185"/>
        </w:trPr>
        <w:tc>
          <w:tcPr>
            <w:tcW w:w="1260" w:type="dxa"/>
            <w:vAlign w:val="bottom"/>
          </w:tcPr>
          <w:p>
            <w:pPr>
              <w:spacing w:after="0"/>
              <w:rPr>
                <w:sz w:val="16"/>
                <w:szCs w:val="16"/>
                <w:color w:val="auto"/>
              </w:rPr>
            </w:pPr>
          </w:p>
        </w:tc>
        <w:tc>
          <w:tcPr>
            <w:tcW w:w="236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rPr>
              <w:t>Wellington Management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tcPr>
          <w:p>
            <w:pPr>
              <w:spacing w:after="0"/>
              <w:rPr>
                <w:sz w:val="16"/>
                <w:szCs w:val="16"/>
                <w:color w:val="auto"/>
              </w:rPr>
            </w:pPr>
          </w:p>
        </w:tc>
      </w:tr>
      <w:tr>
        <w:trPr>
          <w:trHeight w:val="253"/>
        </w:trPr>
        <w:tc>
          <w:tcPr>
            <w:tcW w:w="1260" w:type="dxa"/>
            <w:vAlign w:val="bottom"/>
          </w:tcPr>
          <w:p>
            <w:pPr>
              <w:spacing w:after="0"/>
              <w:rPr>
                <w:sz w:val="22"/>
                <w:szCs w:val="22"/>
                <w:color w:val="auto"/>
              </w:rPr>
            </w:pPr>
          </w:p>
        </w:tc>
        <w:tc>
          <w:tcPr>
            <w:tcW w:w="244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rPr>
              <w:t>Group LLP</w:t>
            </w:r>
            <w:r>
              <w:rPr>
                <w:rFonts w:ascii="Arial" w:cs="Arial" w:eastAsia="Arial" w:hAnsi="Arial"/>
                <w:sz w:val="27"/>
                <w:szCs w:val="27"/>
                <w:color w:val="auto"/>
                <w:vertAlign w:val="superscript"/>
              </w:rPr>
              <w:t>(1)</w:t>
            </w: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1260" w:type="dxa"/>
            <w:vAlign w:val="bottom"/>
          </w:tcPr>
          <w:p>
            <w:pPr>
              <w:spacing w:after="0"/>
              <w:rPr>
                <w:sz w:val="20"/>
                <w:szCs w:val="20"/>
                <w:color w:val="auto"/>
              </w:rPr>
            </w:pP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280 Congress Street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4,806,724</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4,806,724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60" w:type="dxa"/>
            <w:vAlign w:val="bottom"/>
          </w:tcPr>
          <w:p>
            <w:pPr>
              <w:spacing w:after="0"/>
              <w:rPr>
                <w:sz w:val="20"/>
                <w:szCs w:val="20"/>
                <w:color w:val="auto"/>
              </w:rPr>
            </w:pPr>
          </w:p>
        </w:tc>
      </w:tr>
      <w:tr>
        <w:trPr>
          <w:trHeight w:val="256"/>
        </w:trPr>
        <w:tc>
          <w:tcPr>
            <w:tcW w:w="1260" w:type="dxa"/>
            <w:vAlign w:val="bottom"/>
          </w:tcPr>
          <w:p>
            <w:pPr>
              <w:spacing w:after="0"/>
              <w:rPr>
                <w:sz w:val="22"/>
                <w:szCs w:val="22"/>
                <w:color w:val="auto"/>
              </w:rPr>
            </w:pPr>
          </w:p>
        </w:tc>
        <w:tc>
          <w:tcPr>
            <w:tcW w:w="2440" w:type="dxa"/>
            <w:vAlign w:val="bottom"/>
            <w:gridSpan w:val="2"/>
          </w:tcPr>
          <w:p>
            <w:pPr>
              <w:spacing w:after="0" w:line="255" w:lineRule="exact"/>
              <w:rPr>
                <w:sz w:val="20"/>
                <w:szCs w:val="20"/>
                <w:color w:val="auto"/>
              </w:rPr>
            </w:pPr>
            <w:r>
              <w:rPr>
                <w:rFonts w:ascii="Arial" w:cs="Arial" w:eastAsia="Arial" w:hAnsi="Arial"/>
                <w:sz w:val="18"/>
                <w:szCs w:val="18"/>
                <w:color w:val="auto"/>
              </w:rPr>
              <w:t>BlackRock, Inc.</w:t>
            </w:r>
            <w:r>
              <w:rPr>
                <w:rFonts w:ascii="Arial" w:cs="Arial" w:eastAsia="Arial" w:hAnsi="Arial"/>
                <w:sz w:val="27"/>
                <w:szCs w:val="27"/>
                <w:color w:val="auto"/>
                <w:vertAlign w:val="superscript"/>
              </w:rPr>
              <w:t>(2)</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126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New York, NY 10022</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4,139,278</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4,139,278</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w:t>
            </w:r>
          </w:p>
        </w:tc>
        <w:tc>
          <w:tcPr>
            <w:tcW w:w="1260" w:type="dxa"/>
            <w:vAlign w:val="bottom"/>
          </w:tcPr>
          <w:p>
            <w:pPr>
              <w:spacing w:after="0"/>
              <w:rPr>
                <w:sz w:val="20"/>
                <w:szCs w:val="20"/>
                <w:color w:val="auto"/>
              </w:rPr>
            </w:pPr>
          </w:p>
        </w:tc>
      </w:tr>
      <w:tr>
        <w:trPr>
          <w:trHeight w:val="246"/>
        </w:trPr>
        <w:tc>
          <w:tcPr>
            <w:tcW w:w="1260" w:type="dxa"/>
            <w:vAlign w:val="bottom"/>
          </w:tcPr>
          <w:p>
            <w:pPr>
              <w:spacing w:after="0"/>
              <w:rPr>
                <w:sz w:val="21"/>
                <w:szCs w:val="21"/>
                <w:color w:val="auto"/>
              </w:rPr>
            </w:pPr>
          </w:p>
        </w:tc>
        <w:tc>
          <w:tcPr>
            <w:tcW w:w="2440" w:type="dxa"/>
            <w:vAlign w:val="bottom"/>
            <w:gridSpan w:val="2"/>
            <w:shd w:val="clear" w:color="auto" w:fill="CCEEFF"/>
          </w:tcPr>
          <w:p>
            <w:pPr>
              <w:spacing w:after="0" w:line="246" w:lineRule="exact"/>
              <w:rPr>
                <w:sz w:val="20"/>
                <w:szCs w:val="20"/>
                <w:color w:val="auto"/>
              </w:rPr>
            </w:pPr>
            <w:r>
              <w:rPr>
                <w:rFonts w:ascii="Arial" w:cs="Arial" w:eastAsia="Arial" w:hAnsi="Arial"/>
                <w:sz w:val="18"/>
                <w:szCs w:val="18"/>
                <w:color w:val="auto"/>
              </w:rPr>
              <w:t>Corsair Capital LLC</w:t>
            </w:r>
            <w:r>
              <w:rPr>
                <w:rFonts w:ascii="Arial" w:cs="Arial" w:eastAsia="Arial" w:hAnsi="Arial"/>
                <w:sz w:val="27"/>
                <w:szCs w:val="27"/>
                <w:color w:val="auto"/>
                <w:vertAlign w:val="superscript"/>
              </w:rPr>
              <w:t>(3)</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3"/>
        </w:trPr>
        <w:tc>
          <w:tcPr>
            <w:tcW w:w="1260" w:type="dxa"/>
            <w:vAlign w:val="bottom"/>
          </w:tcPr>
          <w:p>
            <w:pPr>
              <w:spacing w:after="0"/>
              <w:rPr>
                <w:sz w:val="22"/>
                <w:szCs w:val="22"/>
                <w:color w:val="auto"/>
              </w:rPr>
            </w:pPr>
          </w:p>
        </w:tc>
        <w:tc>
          <w:tcPr>
            <w:tcW w:w="244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w w:val="98"/>
              </w:rPr>
              <w:t>717 Fifth Avenue, 24</w:t>
            </w:r>
            <w:r>
              <w:rPr>
                <w:rFonts w:ascii="Arial" w:cs="Arial" w:eastAsia="Arial" w:hAnsi="Arial"/>
                <w:sz w:val="27"/>
                <w:szCs w:val="27"/>
                <w:color w:val="auto"/>
                <w:w w:val="98"/>
                <w:vertAlign w:val="superscript"/>
              </w:rPr>
              <w:t>th</w:t>
            </w:r>
            <w:r>
              <w:rPr>
                <w:rFonts w:ascii="Arial" w:cs="Arial" w:eastAsia="Arial" w:hAnsi="Arial"/>
                <w:sz w:val="18"/>
                <w:szCs w:val="18"/>
                <w:color w:val="auto"/>
                <w:w w:val="98"/>
              </w:rPr>
              <w:t xml:space="preserve"> Floor</w:t>
            </w: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1260" w:type="dxa"/>
            <w:vAlign w:val="bottom"/>
          </w:tcPr>
          <w:p>
            <w:pPr>
              <w:spacing w:after="0"/>
              <w:rPr>
                <w:sz w:val="20"/>
                <w:szCs w:val="20"/>
                <w:color w:val="auto"/>
              </w:rPr>
            </w:pP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NY 10022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3,273,323</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3,273,323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60" w:type="dxa"/>
            <w:vAlign w:val="bottom"/>
          </w:tcPr>
          <w:p>
            <w:pPr>
              <w:spacing w:after="0"/>
              <w:rPr>
                <w:sz w:val="20"/>
                <w:szCs w:val="20"/>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tcPr>
          <w:p>
            <w:pPr>
              <w:spacing w:after="0" w:line="270" w:lineRule="exact"/>
              <w:rPr>
                <w:sz w:val="20"/>
                <w:szCs w:val="20"/>
                <w:color w:val="auto"/>
              </w:rPr>
            </w:pPr>
            <w:r>
              <w:rPr>
                <w:rFonts w:ascii="Arial" w:cs="Arial" w:eastAsia="Arial" w:hAnsi="Arial"/>
                <w:sz w:val="18"/>
                <w:szCs w:val="18"/>
                <w:color w:val="auto"/>
              </w:rPr>
              <w:t>Jimmy C. Tallent</w:t>
            </w:r>
            <w:r>
              <w:rPr>
                <w:rFonts w:ascii="Arial" w:cs="Arial" w:eastAsia="Arial" w:hAnsi="Arial"/>
                <w:sz w:val="27"/>
                <w:szCs w:val="27"/>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141,356</w:t>
            </w:r>
          </w:p>
        </w:tc>
        <w:tc>
          <w:tcPr>
            <w:tcW w:w="80" w:type="dxa"/>
            <w:vAlign w:val="bottom"/>
          </w:tcPr>
          <w:p>
            <w:pPr>
              <w:spacing w:after="0"/>
              <w:rPr>
                <w:sz w:val="23"/>
                <w:szCs w:val="23"/>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27,307</w:t>
            </w:r>
          </w:p>
        </w:tc>
        <w:tc>
          <w:tcPr>
            <w:tcW w:w="100" w:type="dxa"/>
            <w:vAlign w:val="bottom"/>
          </w:tcPr>
          <w:p>
            <w:pPr>
              <w:spacing w:after="0"/>
              <w:rPr>
                <w:sz w:val="23"/>
                <w:szCs w:val="23"/>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108,900</w:t>
            </w:r>
          </w:p>
        </w:tc>
        <w:tc>
          <w:tcPr>
            <w:tcW w:w="80" w:type="dxa"/>
            <w:vAlign w:val="bottom"/>
          </w:tcPr>
          <w:p>
            <w:pPr>
              <w:spacing w:after="0"/>
              <w:rPr>
                <w:sz w:val="23"/>
                <w:szCs w:val="23"/>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84,310</w:t>
            </w:r>
          </w:p>
        </w:tc>
        <w:tc>
          <w:tcPr>
            <w:tcW w:w="8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361,873</w:t>
            </w:r>
          </w:p>
        </w:tc>
        <w:tc>
          <w:tcPr>
            <w:tcW w:w="80" w:type="dxa"/>
            <w:vAlign w:val="bottom"/>
          </w:tcPr>
          <w:p>
            <w:pPr>
              <w:spacing w:after="0"/>
              <w:rPr>
                <w:sz w:val="23"/>
                <w:szCs w:val="23"/>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W.C. Nelson, Jr.</w:t>
            </w:r>
            <w:r>
              <w:rPr>
                <w:rFonts w:ascii="Arial" w:cs="Arial" w:eastAsia="Arial" w:hAnsi="Arial"/>
                <w:sz w:val="27"/>
                <w:szCs w:val="27"/>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415,465</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421,999</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tcPr>
          <w:p>
            <w:pPr>
              <w:spacing w:after="0" w:line="270" w:lineRule="exact"/>
              <w:rPr>
                <w:sz w:val="20"/>
                <w:szCs w:val="20"/>
                <w:color w:val="auto"/>
              </w:rPr>
            </w:pPr>
            <w:r>
              <w:rPr>
                <w:rFonts w:ascii="Arial" w:cs="Arial" w:eastAsia="Arial" w:hAnsi="Arial"/>
                <w:sz w:val="18"/>
                <w:szCs w:val="18"/>
                <w:color w:val="auto"/>
              </w:rPr>
              <w:t>Robert H. Blalock</w:t>
            </w:r>
            <w:r>
              <w:rPr>
                <w:rFonts w:ascii="Arial" w:cs="Arial" w:eastAsia="Arial" w:hAnsi="Arial"/>
                <w:sz w:val="27"/>
                <w:szCs w:val="2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27,846</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34,380</w:t>
            </w:r>
          </w:p>
        </w:tc>
        <w:tc>
          <w:tcPr>
            <w:tcW w:w="80" w:type="dxa"/>
            <w:vAlign w:val="bottom"/>
          </w:tcPr>
          <w:p>
            <w:pPr>
              <w:spacing w:after="0"/>
              <w:rPr>
                <w:sz w:val="23"/>
                <w:szCs w:val="23"/>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57"/>
        </w:trPr>
        <w:tc>
          <w:tcPr>
            <w:tcW w:w="1260" w:type="dxa"/>
            <w:vAlign w:val="bottom"/>
          </w:tcPr>
          <w:p>
            <w:pPr>
              <w:spacing w:after="0"/>
              <w:rPr>
                <w:sz w:val="22"/>
                <w:szCs w:val="22"/>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V. Brokaw</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840" w:type="dxa"/>
            <w:vAlign w:val="bottom"/>
          </w:tcPr>
          <w:p>
            <w:pPr>
              <w:jc w:val="right"/>
              <w:spacing w:after="0"/>
              <w:rPr>
                <w:sz w:val="20"/>
                <w:szCs w:val="20"/>
                <w:color w:val="auto"/>
              </w:rPr>
            </w:pPr>
            <w:r>
              <w:rPr>
                <w:rFonts w:ascii="Arial" w:cs="Arial" w:eastAsia="Arial" w:hAnsi="Arial"/>
                <w:sz w:val="18"/>
                <w:szCs w:val="18"/>
                <w:color w:val="auto"/>
              </w:rPr>
              <w:t>4,084</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10,618</w:t>
            </w:r>
          </w:p>
        </w:tc>
        <w:tc>
          <w:tcPr>
            <w:tcW w:w="8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Bill Gilbert</w:t>
            </w:r>
            <w:r>
              <w:rPr>
                <w:rFonts w:ascii="Arial" w:cs="Arial" w:eastAsia="Arial" w:hAnsi="Arial"/>
                <w:sz w:val="27"/>
                <w:szCs w:val="27"/>
                <w:color w:val="auto"/>
                <w:vertAlign w:val="superscript"/>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29,040</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18,640</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63,577</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57"/>
        </w:trPr>
        <w:tc>
          <w:tcPr>
            <w:tcW w:w="126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Steven J. Goldstein</w:t>
            </w: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22"/>
                <w:szCs w:val="22"/>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2"/>
                <w:szCs w:val="22"/>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19,339</w:t>
            </w:r>
          </w:p>
        </w:tc>
        <w:tc>
          <w:tcPr>
            <w:tcW w:w="8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Lynn Harton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65,162</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173,736</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18,835</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257,733</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Thomas A. Richlovsky</w:t>
            </w: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16,534</w:t>
            </w:r>
          </w:p>
        </w:tc>
        <w:tc>
          <w:tcPr>
            <w:tcW w:w="80" w:type="dxa"/>
            <w:vAlign w:val="bottom"/>
          </w:tcPr>
          <w:p>
            <w:pPr>
              <w:spacing w:after="0"/>
              <w:rPr>
                <w:sz w:val="22"/>
                <w:szCs w:val="22"/>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Rex S. Schuette</w:t>
            </w:r>
            <w:r>
              <w:rPr>
                <w:rFonts w:ascii="Arial" w:cs="Arial" w:eastAsia="Arial" w:hAnsi="Arial"/>
                <w:sz w:val="27"/>
                <w:szCs w:val="27"/>
                <w:color w:val="auto"/>
                <w:vertAlign w:val="superscript"/>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51,935</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14,132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50,457</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45,640</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162,164</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tcPr>
          <w:p>
            <w:pPr>
              <w:spacing w:after="0" w:line="270" w:lineRule="exact"/>
              <w:rPr>
                <w:sz w:val="20"/>
                <w:szCs w:val="20"/>
                <w:color w:val="auto"/>
              </w:rPr>
            </w:pPr>
            <w:r>
              <w:rPr>
                <w:rFonts w:ascii="Arial" w:cs="Arial" w:eastAsia="Arial" w:hAnsi="Arial"/>
                <w:sz w:val="18"/>
                <w:szCs w:val="18"/>
                <w:color w:val="auto"/>
              </w:rPr>
              <w:t>David P. Shearrow</w:t>
            </w:r>
            <w:r>
              <w:rPr>
                <w:rFonts w:ascii="Arial" w:cs="Arial" w:eastAsia="Arial" w:hAnsi="Arial"/>
                <w:sz w:val="27"/>
                <w:szCs w:val="27"/>
                <w:color w:val="auto"/>
                <w:vertAlign w:val="superscript"/>
              </w:rPr>
              <w:t>(9)</w:t>
            </w:r>
          </w:p>
        </w:tc>
        <w:tc>
          <w:tcPr>
            <w:tcW w:w="840" w:type="dxa"/>
            <w:vAlign w:val="bottom"/>
          </w:tcPr>
          <w:p>
            <w:pPr>
              <w:jc w:val="right"/>
              <w:spacing w:after="0"/>
              <w:rPr>
                <w:sz w:val="20"/>
                <w:szCs w:val="20"/>
                <w:color w:val="auto"/>
              </w:rPr>
            </w:pPr>
            <w:r>
              <w:rPr>
                <w:rFonts w:ascii="Arial" w:cs="Arial" w:eastAsia="Arial" w:hAnsi="Arial"/>
                <w:sz w:val="18"/>
                <w:szCs w:val="18"/>
                <w:color w:val="auto"/>
              </w:rPr>
              <w:t>2,085</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35,167</w:t>
            </w:r>
          </w:p>
        </w:tc>
        <w:tc>
          <w:tcPr>
            <w:tcW w:w="80" w:type="dxa"/>
            <w:vAlign w:val="bottom"/>
          </w:tcPr>
          <w:p>
            <w:pPr>
              <w:spacing w:after="0"/>
              <w:rPr>
                <w:sz w:val="23"/>
                <w:szCs w:val="23"/>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45,117</w:t>
            </w:r>
          </w:p>
        </w:tc>
        <w:tc>
          <w:tcPr>
            <w:tcW w:w="8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82,369</w:t>
            </w:r>
          </w:p>
        </w:tc>
        <w:tc>
          <w:tcPr>
            <w:tcW w:w="80" w:type="dxa"/>
            <w:vAlign w:val="bottom"/>
          </w:tcPr>
          <w:p>
            <w:pPr>
              <w:spacing w:after="0"/>
              <w:rPr>
                <w:sz w:val="23"/>
                <w:szCs w:val="23"/>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2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Tim R. Wallis</w:t>
            </w:r>
            <w:r>
              <w:rPr>
                <w:rFonts w:ascii="Arial" w:cs="Arial" w:eastAsia="Arial" w:hAnsi="Arial"/>
                <w:sz w:val="27"/>
                <w:szCs w:val="27"/>
                <w:color w:val="auto"/>
                <w:vertAlign w:val="superscript"/>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51,282</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6,534</w:t>
            </w: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57,816</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r>
      <w:tr>
        <w:trPr>
          <w:trHeight w:val="256"/>
        </w:trPr>
        <w:tc>
          <w:tcPr>
            <w:tcW w:w="126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All directors and executive</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126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officers as a group (14</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persons)</w:t>
            </w:r>
          </w:p>
        </w:tc>
        <w:tc>
          <w:tcPr>
            <w:tcW w:w="840" w:type="dxa"/>
            <w:vAlign w:val="bottom"/>
          </w:tcPr>
          <w:p>
            <w:pPr>
              <w:jc w:val="right"/>
              <w:spacing w:after="0"/>
              <w:rPr>
                <w:sz w:val="20"/>
                <w:szCs w:val="20"/>
                <w:color w:val="auto"/>
              </w:rPr>
            </w:pPr>
            <w:r>
              <w:rPr>
                <w:rFonts w:ascii="Arial" w:cs="Arial" w:eastAsia="Arial" w:hAnsi="Arial"/>
                <w:sz w:val="18"/>
                <w:szCs w:val="18"/>
                <w:color w:val="auto"/>
              </w:rPr>
              <w:t>795,325</w:t>
            </w:r>
          </w:p>
        </w:tc>
        <w:tc>
          <w:tcPr>
            <w:tcW w:w="8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57,213</w:t>
            </w:r>
          </w:p>
        </w:tc>
        <w:tc>
          <w:tcPr>
            <w:tcW w:w="100" w:type="dxa"/>
            <w:vAlign w:val="bottom"/>
          </w:tcPr>
          <w:p>
            <w:pPr>
              <w:spacing w:after="0"/>
              <w:rPr>
                <w:sz w:val="20"/>
                <w:szCs w:val="20"/>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530,463</w:t>
            </w:r>
          </w:p>
        </w:tc>
        <w:tc>
          <w:tcPr>
            <w:tcW w:w="8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182,453</w:t>
            </w:r>
          </w:p>
        </w:tc>
        <w:tc>
          <w:tcPr>
            <w:tcW w:w="8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1,565,454</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1260" w:type="dxa"/>
            <w:vAlign w:val="bottom"/>
          </w:tcPr>
          <w:p>
            <w:pPr>
              <w:spacing w:after="0"/>
              <w:rPr>
                <w:sz w:val="20"/>
                <w:szCs w:val="20"/>
                <w:color w:val="auto"/>
              </w:rPr>
            </w:pPr>
          </w:p>
        </w:tc>
      </w:tr>
      <w:tr>
        <w:trPr>
          <w:trHeight w:val="486"/>
        </w:trPr>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3"/>
          </w:tcPr>
          <w:p>
            <w:pPr>
              <w:jc w:val="right"/>
              <w:ind w:right="974"/>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-4373245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-4373245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-4373245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-4373245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-4373245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-4373245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tabs>
          <w:tab w:leader="none" w:pos="1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Represents less than 1% of the deemed outstanding shares of Common Stock.</w:t>
      </w:r>
    </w:p>
    <w:p>
      <w:pPr>
        <w:jc w:val="both"/>
        <w:ind w:left="1480" w:right="759" w:hanging="219"/>
        <w:spacing w:after="0" w:line="228" w:lineRule="auto"/>
        <w:tabs>
          <w:tab w:leader="none" w:pos="146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Based on information contained in Schedule 13G/A filed by Wellington Management Group LLP with the Securities and Exchange Commission on February 12, 2015 indicating shared voting power relative to 4,516,319 shares of the voting Common Stock as of December 31, 2014, and shared dispositive power relative to 4,806,724 shares of the Common Stock as of December 31, 2014, which would have comprised 9.00% and 9.58%, respectively, of United’s 50,178,605 shares of Common Stock outstanding as of December 31, 2014.</w:t>
      </w:r>
    </w:p>
    <w:p>
      <w:pPr>
        <w:spacing w:after="0" w:line="24" w:lineRule="exact"/>
        <w:rPr>
          <w:sz w:val="20"/>
          <w:szCs w:val="20"/>
          <w:color w:val="auto"/>
        </w:rPr>
      </w:pPr>
    </w:p>
    <w:p>
      <w:pPr>
        <w:jc w:val="both"/>
        <w:ind w:left="1480" w:right="759" w:hanging="219"/>
        <w:spacing w:after="0" w:line="245" w:lineRule="auto"/>
        <w:tabs>
          <w:tab w:leader="none" w:pos="1460" w:val="left"/>
        </w:tabs>
        <w:rPr>
          <w:sz w:val="20"/>
          <w:szCs w:val="20"/>
          <w:color w:val="auto"/>
        </w:rPr>
      </w:pPr>
      <w:r>
        <w:rPr>
          <w:rFonts w:ascii="Arial" w:cs="Arial" w:eastAsia="Arial" w:hAnsi="Arial"/>
          <w:sz w:val="19"/>
          <w:szCs w:val="19"/>
          <w:color w:val="auto"/>
          <w:vertAlign w:val="superscript"/>
        </w:rPr>
        <w:t>(2)</w:t>
      </w:r>
      <w:r>
        <w:rPr>
          <w:sz w:val="20"/>
          <w:szCs w:val="20"/>
          <w:color w:val="auto"/>
        </w:rPr>
        <w:tab/>
      </w:r>
      <w:r>
        <w:rPr>
          <w:rFonts w:ascii="Arial" w:cs="Arial" w:eastAsia="Arial" w:hAnsi="Arial"/>
          <w:sz w:val="13"/>
          <w:szCs w:val="13"/>
          <w:color w:val="auto"/>
        </w:rPr>
        <w:t>Based on information contained in Schedule 13G/A filed by BlackRock, Inc. with the Securities and Exchange Commission on January 12, 2015 indicating sole voting power relative to 4,243,884 shares of the Common Stock as of December 31, 2014, and sole dispositive power relative to 4,139,278 shares of the Common Stock as of December 31, 2014, which would have comprised 8.46% and 8.25%, respectively, of United’s 50,178,605 shares of voting Common Stock outstanding as of December 31, 2014.</w:t>
      </w:r>
    </w:p>
    <w:p>
      <w:pPr>
        <w:spacing w:after="0" w:line="21" w:lineRule="exact"/>
        <w:rPr>
          <w:sz w:val="20"/>
          <w:szCs w:val="20"/>
          <w:color w:val="auto"/>
        </w:rPr>
      </w:pPr>
    </w:p>
    <w:p>
      <w:pPr>
        <w:jc w:val="both"/>
        <w:ind w:left="1480" w:right="739" w:hanging="219"/>
        <w:spacing w:after="0" w:line="237" w:lineRule="auto"/>
        <w:tabs>
          <w:tab w:leader="none" w:pos="1460" w:val="left"/>
        </w:tabs>
        <w:rPr>
          <w:sz w:val="20"/>
          <w:szCs w:val="20"/>
          <w:color w:val="auto"/>
        </w:rPr>
      </w:pPr>
      <w:r>
        <w:rPr>
          <w:rFonts w:ascii="Arial" w:cs="Arial" w:eastAsia="Arial" w:hAnsi="Arial"/>
          <w:sz w:val="22"/>
          <w:szCs w:val="22"/>
          <w:color w:val="auto"/>
          <w:vertAlign w:val="superscript"/>
        </w:rPr>
        <w:t>(3)</w:t>
      </w:r>
      <w:r>
        <w:rPr>
          <w:sz w:val="20"/>
          <w:szCs w:val="20"/>
          <w:color w:val="auto"/>
        </w:rPr>
        <w:tab/>
      </w:r>
      <w:r>
        <w:rPr>
          <w:rFonts w:ascii="Arial" w:cs="Arial" w:eastAsia="Arial" w:hAnsi="Arial"/>
          <w:sz w:val="14"/>
          <w:szCs w:val="14"/>
          <w:color w:val="auto"/>
        </w:rPr>
        <w:t>Based in part on information contained in Schedule 13D/A filed by Corsair Capital LLC with the Securities and Exchange Commission on February 9, 2015 indicating shared voting power and shared dispositive power of Corsair IV Management GP, Ltd., Nicholas B. Paumgarten and Corsair Georgia, L.P. relative to 3,273,323 shares of the voting Common Stock as of February 6, 2015, which would have comprised 6.52% of United’s 50,216,478 shares of voting Common Stock outstanding as of February 6, 2015. Does not include 7,026,724 shares of United’s non-voting common stock with respect to which Corsair IV Management GP, Ltd., Nicholas B. Paumgarten, Corsair Georgia, L.P., Corsair IV Financial Services Capital Partners, L.P., Corsair IV Management, L.P. and Corsair Capital LLC have shared dispositive power.</w:t>
      </w:r>
    </w:p>
    <w:p>
      <w:pPr>
        <w:spacing w:after="0" w:line="25" w:lineRule="exact"/>
        <w:rPr>
          <w:sz w:val="20"/>
          <w:szCs w:val="20"/>
          <w:color w:val="auto"/>
        </w:rPr>
      </w:pPr>
    </w:p>
    <w:p>
      <w:pPr>
        <w:jc w:val="both"/>
        <w:ind w:left="1480" w:right="759" w:hanging="219"/>
        <w:spacing w:after="0" w:line="189" w:lineRule="auto"/>
        <w:tabs>
          <w:tab w:leader="none" w:pos="1460" w:val="left"/>
        </w:tabs>
        <w:rPr>
          <w:sz w:val="20"/>
          <w:szCs w:val="20"/>
          <w:color w:val="auto"/>
        </w:rPr>
      </w:pPr>
      <w:r>
        <w:rPr>
          <w:rFonts w:ascii="Arial" w:cs="Arial" w:eastAsia="Arial" w:hAnsi="Arial"/>
          <w:sz w:val="22"/>
          <w:szCs w:val="22"/>
          <w:color w:val="auto"/>
          <w:vertAlign w:val="superscript"/>
        </w:rPr>
        <w:t>(4)</w:t>
      </w:r>
      <w:r>
        <w:rPr>
          <w:sz w:val="20"/>
          <w:szCs w:val="20"/>
          <w:color w:val="auto"/>
        </w:rPr>
        <w:tab/>
      </w:r>
      <w:r>
        <w:rPr>
          <w:rFonts w:ascii="Arial" w:cs="Arial" w:eastAsia="Arial" w:hAnsi="Arial"/>
          <w:sz w:val="14"/>
          <w:szCs w:val="14"/>
          <w:color w:val="auto"/>
        </w:rPr>
        <w:t>Includes 77 shares owned by Mr. Tallent’s spouse, for which he claims beneficial ownership, and 61 shares owned by Mr. Tallent’s minor grandchildren for which he is custodian.</w:t>
      </w:r>
    </w:p>
    <w:p>
      <w:pPr>
        <w:spacing w:after="0" w:line="25" w:lineRule="exact"/>
        <w:rPr>
          <w:sz w:val="20"/>
          <w:szCs w:val="20"/>
          <w:color w:val="auto"/>
        </w:rPr>
      </w:pPr>
    </w:p>
    <w:p>
      <w:pPr>
        <w:jc w:val="both"/>
        <w:ind w:left="1480" w:right="759" w:hanging="219"/>
        <w:spacing w:after="0" w:line="210" w:lineRule="auto"/>
        <w:tabs>
          <w:tab w:leader="none" w:pos="1460" w:val="left"/>
        </w:tabs>
        <w:rPr>
          <w:sz w:val="20"/>
          <w:szCs w:val="20"/>
          <w:color w:val="auto"/>
        </w:rPr>
      </w:pPr>
      <w:r>
        <w:rPr>
          <w:rFonts w:ascii="Arial" w:cs="Arial" w:eastAsia="Arial" w:hAnsi="Arial"/>
          <w:sz w:val="22"/>
          <w:szCs w:val="22"/>
          <w:color w:val="auto"/>
          <w:vertAlign w:val="superscript"/>
        </w:rPr>
        <w:t>(5)</w:t>
      </w:r>
      <w:r>
        <w:rPr>
          <w:sz w:val="20"/>
          <w:szCs w:val="20"/>
          <w:color w:val="auto"/>
        </w:rPr>
        <w:tab/>
      </w:r>
      <w:r>
        <w:rPr>
          <w:rFonts w:ascii="Arial" w:cs="Arial" w:eastAsia="Arial" w:hAnsi="Arial"/>
          <w:sz w:val="14"/>
          <w:szCs w:val="14"/>
          <w:color w:val="auto"/>
        </w:rPr>
        <w:t>Includes 10,613 shares owned by Mr. Nelson’s spouse, for which he claims beneficial ownership; 9,917 shares owned by Mr. Nelson’s minor grandchildren for which he is custodian; 280 shares owned by Conag Rentals, Inc., a company owned by Mr. Nelson; and 245 shares owned by King Ford, a company in which Mr. Nelson is 50% owner.</w:t>
      </w:r>
    </w:p>
    <w:p>
      <w:pPr>
        <w:spacing w:after="0" w:line="24" w:lineRule="exact"/>
        <w:rPr>
          <w:sz w:val="20"/>
          <w:szCs w:val="20"/>
          <w:color w:val="auto"/>
        </w:rPr>
      </w:pPr>
    </w:p>
    <w:p>
      <w:pPr>
        <w:jc w:val="both"/>
        <w:ind w:left="1480" w:right="759" w:hanging="219"/>
        <w:spacing w:after="0" w:line="189" w:lineRule="auto"/>
        <w:tabs>
          <w:tab w:leader="none" w:pos="1460" w:val="left"/>
        </w:tabs>
        <w:rPr>
          <w:sz w:val="20"/>
          <w:szCs w:val="20"/>
          <w:color w:val="auto"/>
        </w:rPr>
      </w:pPr>
      <w:r>
        <w:rPr>
          <w:rFonts w:ascii="Arial" w:cs="Arial" w:eastAsia="Arial" w:hAnsi="Arial"/>
          <w:sz w:val="22"/>
          <w:szCs w:val="22"/>
          <w:color w:val="auto"/>
          <w:vertAlign w:val="superscript"/>
        </w:rPr>
        <w:t>(6)</w:t>
      </w:r>
      <w:r>
        <w:rPr>
          <w:sz w:val="20"/>
          <w:szCs w:val="20"/>
          <w:color w:val="auto"/>
        </w:rPr>
        <w:tab/>
      </w:r>
      <w:r>
        <w:rPr>
          <w:rFonts w:ascii="Arial" w:cs="Arial" w:eastAsia="Arial" w:hAnsi="Arial"/>
          <w:sz w:val="14"/>
          <w:szCs w:val="14"/>
          <w:color w:val="auto"/>
        </w:rPr>
        <w:t>Includes 1,992 shares owned by Mr. Blalock’s spouse, for which he claims beneficial ownership, and 20,121 shares owned by Blalock Insurance Agency, Inc., a company owned by Mr. Blalock.</w:t>
      </w:r>
    </w:p>
    <w:p>
      <w:pPr>
        <w:ind w:left="1260"/>
        <w:spacing w:after="0" w:line="199" w:lineRule="auto"/>
        <w:rPr>
          <w:sz w:val="20"/>
          <w:szCs w:val="20"/>
          <w:color w:val="auto"/>
        </w:rPr>
      </w:pPr>
      <w:r>
        <w:rPr>
          <w:rFonts w:ascii="Arial" w:cs="Arial" w:eastAsia="Arial" w:hAnsi="Arial"/>
          <w:sz w:val="21"/>
          <w:szCs w:val="21"/>
          <w:color w:val="auto"/>
          <w:vertAlign w:val="superscript"/>
        </w:rPr>
        <w:t>(7)</w:t>
      </w:r>
      <w:r>
        <w:rPr>
          <w:rFonts w:ascii="Arial" w:cs="Arial" w:eastAsia="Arial" w:hAnsi="Arial"/>
          <w:sz w:val="14"/>
          <w:szCs w:val="14"/>
          <w:color w:val="auto"/>
        </w:rPr>
        <w:t xml:space="preserve">  Includes 177 shares owned by Mr. Gilbert’s spouse, for which he claims beneficial ownership.</w:t>
      </w:r>
    </w:p>
    <w:p>
      <w:pPr>
        <w:ind w:left="1260"/>
        <w:spacing w:after="0" w:line="183" w:lineRule="auto"/>
        <w:rPr>
          <w:sz w:val="20"/>
          <w:szCs w:val="20"/>
          <w:color w:val="auto"/>
        </w:rPr>
      </w:pPr>
      <w:r>
        <w:rPr>
          <w:rFonts w:ascii="Arial" w:cs="Arial" w:eastAsia="Arial" w:hAnsi="Arial"/>
          <w:sz w:val="20"/>
          <w:szCs w:val="20"/>
          <w:color w:val="auto"/>
          <w:vertAlign w:val="superscript"/>
        </w:rPr>
        <w:t>(8)</w:t>
      </w:r>
      <w:r>
        <w:rPr>
          <w:rFonts w:ascii="Arial" w:cs="Arial" w:eastAsia="Arial" w:hAnsi="Arial"/>
          <w:sz w:val="14"/>
          <w:szCs w:val="14"/>
          <w:color w:val="auto"/>
        </w:rPr>
        <w:t xml:space="preserve">  Includes 1,800 shares owned by Mr. Schuette’s spouse, for which he claims beneficial ownership.</w:t>
      </w:r>
    </w:p>
    <w:p>
      <w:pPr>
        <w:ind w:left="1260"/>
        <w:spacing w:after="0" w:line="183" w:lineRule="auto"/>
        <w:rPr>
          <w:sz w:val="20"/>
          <w:szCs w:val="20"/>
          <w:color w:val="auto"/>
        </w:rPr>
      </w:pPr>
      <w:r>
        <w:rPr>
          <w:rFonts w:ascii="Arial" w:cs="Arial" w:eastAsia="Arial" w:hAnsi="Arial"/>
          <w:sz w:val="20"/>
          <w:szCs w:val="20"/>
          <w:color w:val="auto"/>
          <w:vertAlign w:val="superscript"/>
        </w:rPr>
        <w:t>(9)</w:t>
      </w:r>
      <w:r>
        <w:rPr>
          <w:rFonts w:ascii="Arial" w:cs="Arial" w:eastAsia="Arial" w:hAnsi="Arial"/>
          <w:sz w:val="14"/>
          <w:szCs w:val="14"/>
          <w:color w:val="auto"/>
        </w:rPr>
        <w:t xml:space="preserve">  Mr. Shearrow retired effective January 1, 2015.</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1"/>
          <w:szCs w:val="21"/>
          <w:color w:val="auto"/>
          <w:vertAlign w:val="superscript"/>
        </w:rPr>
        <w:t>(10)</w:t>
      </w:r>
      <w:r>
        <w:rPr>
          <w:rFonts w:ascii="Arial" w:cs="Arial" w:eastAsia="Arial" w:hAnsi="Arial"/>
          <w:sz w:val="14"/>
          <w:szCs w:val="14"/>
          <w:color w:val="auto"/>
        </w:rPr>
        <w:t xml:space="preserve"> Includes 51,282 shares owned by Wallis Investment Co., LLC, a company owned by Mr. Wallis.</w:t>
      </w:r>
    </w:p>
    <w:p>
      <w:pPr>
        <w:spacing w:after="0" w:line="14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requires United’s directors and senior executives, and persons who own more than 10% of United’s Common Stock, to file with the SEC certain reports of beneficial ownership of the Common Stock. Based solely on copies of such reports furnished to United and representations that no other reports were required, United believes that all applicable Section 16(a) reports were filed by its directors, senior executives and 10% shareholders during the fiscal year ended December 31, 2014, except that (1) Richard Bradshaw filed a late report on Form 5 for three transactions;</w:t>
      </w:r>
    </w:p>
    <w:p>
      <w:pPr>
        <w:spacing w:after="0" w:line="5" w:lineRule="exact"/>
        <w:rPr>
          <w:sz w:val="20"/>
          <w:szCs w:val="20"/>
          <w:color w:val="auto"/>
        </w:rPr>
      </w:pPr>
    </w:p>
    <w:p>
      <w:pPr>
        <w:jc w:val="both"/>
        <w:ind w:left="1260" w:right="739" w:firstLine="8"/>
        <w:spacing w:after="0" w:line="302" w:lineRule="auto"/>
        <w:tabs>
          <w:tab w:leader="none" w:pos="15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Lynn Harton and Alan Kumler each filed a late report on Form 5 and Tim Wallis filed a late report on Form 4 for two transactions; and (3) Michael Burke, Bill Gilbert, Brad Miller, Timothy Schools, Rex Schuette and Jimmy Tallent each filed a late report on Form 5 and David Shearrow filed a late report on Form 4 for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AUDIT COMMITTEE REPORT</w:t>
      </w:r>
    </w:p>
    <w:p>
      <w:pPr>
        <w:spacing w:after="0" w:line="10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The Audit Committee operates pursuant to an Audit Committee Charter that was adopted by the Board in 2013 and which is annually reviewed and approved by the Board. United’s management is responsible for its internal accounting controls and the financial reporting process. United’s independent registered public accountants for 2014, PricewaterhouseCoopers LLP (“</w:t>
      </w:r>
      <w:r>
        <w:rPr>
          <w:rFonts w:ascii="Arial" w:cs="Arial" w:eastAsia="Arial" w:hAnsi="Arial"/>
          <w:sz w:val="16"/>
          <w:szCs w:val="16"/>
          <w:b w:val="1"/>
          <w:bCs w:val="1"/>
          <w:i w:val="1"/>
          <w:iCs w:val="1"/>
          <w:color w:val="auto"/>
        </w:rPr>
        <w:t>PwC</w:t>
      </w:r>
      <w:r>
        <w:rPr>
          <w:rFonts w:ascii="Arial" w:cs="Arial" w:eastAsia="Arial" w:hAnsi="Arial"/>
          <w:sz w:val="16"/>
          <w:szCs w:val="16"/>
          <w:color w:val="auto"/>
        </w:rPr>
        <w:t>”), was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four members of the Audit Committee are “independent,” as defined by the federal securities laws and the Nasdaq listing requirements.</w:t>
      </w:r>
    </w:p>
    <w:p>
      <w:pPr>
        <w:spacing w:after="0" w:line="59"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In addition, the Audit Committee has received the written disclosures and letter from PwC required by Independence Standards Board Standard No. 1, “Independence Discussions with Audit Committees,” and has discussed with PwC their independence. The Audit Committee is also responsible for considering whether the provision of any non-audit services provided by PwC would impair their independence. No such services were proposed or provided in 2014.</w:t>
      </w:r>
    </w:p>
    <w:p>
      <w:pPr>
        <w:spacing w:after="0" w:line="7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8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7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2014 for filing with the SEC.</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Thomas A. Richlovsky, Chairman</w:t>
      </w:r>
    </w:p>
    <w:p>
      <w:pPr>
        <w:jc w:val="center"/>
        <w:ind w:right="-520"/>
        <w:spacing w:after="0" w:line="219" w:lineRule="auto"/>
        <w:rPr>
          <w:sz w:val="20"/>
          <w:szCs w:val="20"/>
          <w:color w:val="auto"/>
        </w:rPr>
      </w:pPr>
      <w:r>
        <w:rPr>
          <w:rFonts w:ascii="Arial" w:cs="Arial" w:eastAsia="Arial" w:hAnsi="Arial"/>
          <w:sz w:val="18"/>
          <w:szCs w:val="18"/>
          <w:color w:val="auto"/>
        </w:rPr>
        <w:t>Robert H. Blalock</w:t>
      </w:r>
    </w:p>
    <w:p>
      <w:pPr>
        <w:jc w:val="center"/>
        <w:ind w:right="-520"/>
        <w:spacing w:after="0" w:line="219" w:lineRule="auto"/>
        <w:rPr>
          <w:sz w:val="20"/>
          <w:szCs w:val="20"/>
          <w:color w:val="auto"/>
        </w:rPr>
      </w:pPr>
      <w:r>
        <w:rPr>
          <w:rFonts w:ascii="Arial" w:cs="Arial" w:eastAsia="Arial" w:hAnsi="Arial"/>
          <w:sz w:val="18"/>
          <w:szCs w:val="18"/>
          <w:color w:val="auto"/>
        </w:rPr>
        <w:t>L. Cathy Cox</w:t>
      </w:r>
    </w:p>
    <w:p>
      <w:pPr>
        <w:jc w:val="center"/>
        <w:ind w:right="-520"/>
        <w:spacing w:after="0"/>
        <w:rPr>
          <w:sz w:val="20"/>
          <w:szCs w:val="20"/>
          <w:color w:val="auto"/>
        </w:rPr>
      </w:pPr>
      <w:r>
        <w:rPr>
          <w:rFonts w:ascii="Arial" w:cs="Arial" w:eastAsia="Arial" w:hAnsi="Arial"/>
          <w:sz w:val="18"/>
          <w:szCs w:val="18"/>
          <w:color w:val="auto"/>
        </w:rPr>
        <w:t>Steven J. Goldstein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20" w:right="120"/>
        <w:spacing w:after="0" w:line="236" w:lineRule="auto"/>
        <w:rPr>
          <w:sz w:val="20"/>
          <w:szCs w:val="20"/>
          <w:color w:val="auto"/>
        </w:rPr>
      </w:pPr>
      <w:r>
        <w:rPr>
          <w:rFonts w:ascii="Arial" w:cs="Arial" w:eastAsia="Arial" w:hAnsi="Arial"/>
          <w:sz w:val="18"/>
          <w:szCs w:val="18"/>
          <w:b w:val="1"/>
          <w:bCs w:val="1"/>
          <w:color w:val="auto"/>
        </w:rPr>
        <w:t>PROPOSAL 2 — RE-APPROVAL OF THE MATERIAL TERMS OF THE PERFORMANCE GOALS UNDER THE MANAGEMENT INCENTIVE PLAN PURSUANT TO SECTION 162(M) OF THE INTERNAL REVENUE CODE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Shareholders are being asked to re-approve the material terms of the performance goals currently contained in United’s Management Incentive Plan so that United can deduct from its U.S. Federal corporate income taxes the full amount of the non-equity incentive awards to Named Executive Officers paid under the Management Incentive Plan that otherwise qualify as “qualified performance-based compensation” under Section 162(m) of the Code. The Management Incentive Plan was approved and adopted by United’s shareholders in April 2007 after its approval and adoption by the Board and the Compensation Committee. The Management Incentive Plan became effective as of January 1, 2007. Although the Management Incentive Plan permits the issuance of options and restricted stock units, all of United’s equity incentive awards have been granted under the Equity Plan, which is a broad-based, shareholder approved plan covering Named Executive Officers, other members of senior management and other key personnel. Performance measures for Named Executive Officers under the Management Incentive Plan include one or more of the following (which may relate to United as a whole or a business unit, division or subsidiary, as appropriate), as determined by the Compensation Committee:</w:t>
      </w:r>
    </w:p>
    <w:p>
      <w:pPr>
        <w:spacing w:after="0" w:line="88"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operating income or the growth in such net operating income;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earnings per share or the growth in such operating earnings per share;</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growth in consolidated total revenue, loans and deposits;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increases in market share;</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before taxes or the growth in such earnings;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price or the growth in such price;</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return on equity, tangible equity, and assets or the growth on such returns;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shareholders’ return or the growth in such return;</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contribution to geographic expansion;</w:t>
      </w:r>
    </w:p>
    <w:p>
      <w:pPr>
        <w:spacing w:after="0" w:line="14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of expenses or the reduction of expenses, overhead ratios or changes in such ratios, efficiency ratios or changes in such ratios;</w:t>
      </w:r>
    </w:p>
    <w:p>
      <w:pPr>
        <w:spacing w:after="0" w:line="10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loan quality or the changes in the level of loan quality or changes in the ratios of net charge-offs to loans or non-performing assets to assets;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satisfaction scores or changes in scores; and/or</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value added or changes in such value added.</w:t>
      </w:r>
    </w:p>
    <w:p>
      <w:pPr>
        <w:spacing w:after="0" w:line="113" w:lineRule="exact"/>
        <w:rPr>
          <w:sz w:val="20"/>
          <w:szCs w:val="20"/>
          <w:color w:val="auto"/>
        </w:rPr>
      </w:pPr>
    </w:p>
    <w:p>
      <w:pPr>
        <w:jc w:val="both"/>
        <w:ind w:left="1260" w:right="739" w:firstLine="360"/>
        <w:spacing w:after="0" w:line="258" w:lineRule="auto"/>
        <w:rPr>
          <w:sz w:val="20"/>
          <w:szCs w:val="20"/>
          <w:color w:val="auto"/>
        </w:rPr>
      </w:pPr>
      <w:r>
        <w:rPr>
          <w:rFonts w:ascii="Arial" w:cs="Arial" w:eastAsia="Arial" w:hAnsi="Arial"/>
          <w:sz w:val="18"/>
          <w:szCs w:val="18"/>
          <w:b w:val="1"/>
          <w:bCs w:val="1"/>
          <w:color w:val="auto"/>
        </w:rPr>
        <w:t xml:space="preserve">Shareholders are not being asked to approve any other amendment to the Management Incentive Plan, nor are they being asked to re-approve the Management Incentive Plan itself. The terms of the Management Incentive Plan will remain unchanged and the re-approval does not affect the nature and amount of awards available for grant under the Management Incentive Plan. A copy of the Management Incentive Plan is attached hereto as </w:t>
      </w: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80"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If shareholders re-approve the material terms of the performance goals under the Management Incentive Plan at the annual meeting, the Compensation Committee currently anticipates that, to the extent practicable and in our best interest, performance-based compensation programs under the Management Incentive Plan will be designed with the intent to satisfy the requirements of Section 162(m) of the Code to permit the deduction for tax purposes of the full amount of such awards payable to our Named Executive Officers. The Compensation Committee and the Board recognize, however, that there may be business considerations that dictate that they grant incentive awards that may not be deductible under Section 162(m) of the Code.</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94"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purpose of the Management Incentive Plan is to advance the growth and financial success of United by offering performance incentives to designated executives who have significant responsibility for such success. The Management Incentive Plan is administered by the Compensation Committee or other committee designated by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subject to the Committee’s right to delegate the responsibility for administration of the Management Incentive Plan as it applies to other than the Chief Executive Officer or other Named Executive Officers. Persons eligible to participate in the Management Incentive Plan are executives of United, its operating units or its affiliates, who are in key management and staff positions designated as eligible for participation by the Committee. The Management Incentive Plan may be amended, suspended or terminated by the Committee at any time, subject to ratification by the Board and to the consent of each participant whose rights would be adversely affected with respect to an award that has been determined and approved previously.</w:t>
      </w:r>
    </w:p>
    <w:p>
      <w:pPr>
        <w:spacing w:after="0" w:line="4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Under Section 162(m) of the Code, compensation in excess of $1 million paid in any one year to a public corporation’s named executive officers who are employed by the corporation at year-end will not be deductible for federal income tax purposes unless the compensation is considered “qualified performance-based compensation” under Section 162(m) of the Code (or another exemption is met). The general rule is that annual compensation paid to any of these named executive officers will not be deductible to the extent that it exceeds $1 million for any year. Among the conditions imposed by Section 162(m) of the Internal Revenue Code is a requirement that the performance criteria used to determine the performance awards under the Management Incentive Plan be re-approved by shareholders every five years. One of the purposes of this proposal is to obtain such re-approval and thereby continue to provide the Compensation Committee the flexibility in its discretion to determine compensation that is intended to satisfy the requirements of Section 162(m) of the Internal Revenue Code for deductibility of certain compensation in excess of $1 million.</w:t>
      </w:r>
    </w:p>
    <w:p>
      <w:pPr>
        <w:spacing w:after="0" w:line="75" w:lineRule="exact"/>
        <w:rPr>
          <w:sz w:val="20"/>
          <w:szCs w:val="20"/>
          <w:color w:val="auto"/>
        </w:rPr>
      </w:pPr>
    </w:p>
    <w:p>
      <w:pPr>
        <w:jc w:val="both"/>
        <w:ind w:left="1260" w:right="739" w:firstLine="360"/>
        <w:spacing w:after="0" w:line="267" w:lineRule="auto"/>
        <w:rPr>
          <w:sz w:val="20"/>
          <w:szCs w:val="20"/>
          <w:color w:val="auto"/>
        </w:rPr>
      </w:pPr>
      <w:r>
        <w:rPr>
          <w:rFonts w:ascii="Arial" w:cs="Arial" w:eastAsia="Arial" w:hAnsi="Arial"/>
          <w:sz w:val="17"/>
          <w:szCs w:val="17"/>
          <w:color w:val="auto"/>
        </w:rPr>
        <w:t>The rules and regulations promulgated under Section 162(m) of the Internal Revenue Code, however, are complicated and subject to change from time to time, sometimes with retroactive effect. There can be no guarantee, therefore, that amounts potentially subject to the Section 162(m) limitations will be treated by the Internal Revenue Service as qualified performance-based compensation under Section 162(m) of the Internal Revenue Code and/or deductible by us. Under the Management Incentive Plan, it is intended that incentive awards which are conditioned upon achievement of performance goals can be designed to qualify as “qualified performance-based” compensation. A number of requirements must be met under Section 162(m) of the Internal Revenue Code in order for particular compensation to so qualify for the exception such that there can be no assurance that incentive awards intended to constitute “qualified performance-based” compensation under the Management Incentive Plan will be fully deductible under all circumstances. In addition, other awards under the Management Incentive Plan generally will not so qualify for the exception under Section 162(m) of the Internal Revenue Code, so that compensation paid to certain Named Executive Officers in connection with such awards may, to the extent it and other compensation subject to Section 162(m) of the Internal Revenue Code’s deductibility cap exceed $1 million in a given taxable year, may not be deductible by us as a result of Section 162(m) of the Internal Revenue Code. Compensation to certain employees resulting from vesting of awards in connection with a change in control or termination following a change in control also may be non-deductible under Sections 4999 and 280G of the Internal Revenue Code.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Awards Under the Management Incentive Plan</w:t>
      </w:r>
    </w:p>
    <w:p>
      <w:pPr>
        <w:spacing w:after="0" w:line="9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Prior to, or as soon as practical after, the commencement of each fiscal year, the Committee will establish plan rules for that year with respect to the following matters: (1) the employees who are eligible to participate; (2) the performance objectives for each participant, which performance objectives will include one or more of the performance measures as noted above; (3) the target award, maximum award and threshold award that can be received by each participant, and the method for determining such award; (4) the form of payment of an incentive award; and (5) the terms and conditions subject to which any incentive award may become payable.</w:t>
      </w:r>
    </w:p>
    <w:p>
      <w:pPr>
        <w:spacing w:after="0" w:line="4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Performance measures for Named Executive Officers will include one or more of the following (which may relate to United as a whole or a business unit, division or subsidiary, as appropriate), as determined by the Committee: net operating income or the growth in such net operating income; operating earnings per</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8" w:lineRule="auto"/>
        <w:rPr>
          <w:sz w:val="20"/>
          <w:szCs w:val="20"/>
          <w:color w:val="auto"/>
        </w:rPr>
      </w:pPr>
      <w:r>
        <w:rPr>
          <w:rFonts w:ascii="Arial" w:cs="Arial" w:eastAsia="Arial" w:hAnsi="Arial"/>
          <w:sz w:val="16"/>
          <w:szCs w:val="16"/>
          <w:color w:val="auto"/>
        </w:rPr>
        <w:t>share or the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contribution to geographic expansion;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The Committee can establish other performance measures for awards granted to participants who are not Named Executive Officers. The maximum incentive award that may be paid to any individual under the Management Incentive Plan for any year shall not exceed $2 million.</w:t>
      </w:r>
    </w:p>
    <w:p>
      <w:pPr>
        <w:spacing w:after="0" w:line="61"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After the end of each fiscal year, the Committee certifies the extent to which the performance objectives have been achieved for that year. In measuring performance, the Committee may adjust United’s financial results to exclude the effect of unusual and unanticipated charges or income items that distort year-to-year comparisons of results and other events, including acquisitions or dispositions of businesses or assets, de novo expansions, recapitalizations, reorganizations or reductions-in-force. With respect to certain Named Executive Officers, the Committee considers the provisions of Section 162(m) in making adjustments for awards intended to comply with Section 162(m). The Committee may also make adjustments to eliminate the effect of changes in tax or accounting rules and regulations. The percentage of pay at risk under the Management Incentive Plan is increased by position according to relative levels of responsibility and influence on business unit and corporate objectives. The award percentage is discounted for performance below the target down to a minimum threshold and below the minimum threshold no award is due, and an enhanced payout percentage may be provided to motivate performance above target up to a maximum.</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Awards under the Management Incentive Plan shall be approved by the Committee, subject to ratification by the Board when required under the Management Incentive Plan or desired by the Committee, based on the Management Incentive Plan rules then in effect and the achievement of performance criteria as certified by the Committee. The Committee may in its discretion grant awards under the Management Incentive Plan to deserving participants, except certain Named Executive Officers, notwithstanding levels of achievement of performance criteria.</w:t>
      </w:r>
    </w:p>
    <w:p>
      <w:pPr>
        <w:spacing w:after="0" w:line="8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Awards will generally be made in lump sum cash payments or in such other form as the Committee may specify at the beginning of the year. Payment will be made as soon as practicable after the determination of the awards.</w:t>
      </w:r>
    </w:p>
    <w:p>
      <w:pPr>
        <w:spacing w:after="0" w:line="73"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 partial award may be authorized by the Committee for a participant who is terminated without cause (as determined by the Committee), or who retires, dies or becomes permanently and totally disabled during the fiscal year. Otherwise, no award will be paid to a participant who is not an active employee of United, an operating unit or an affiliate at the end of the fiscal year to which the award relates. In general, unless the Committee has established a different rule with respect to some or all participants, upon the occurrence of a change in control, the participant’s incentive award for that year will be deemed to have been fully earned at the target award level, will be prorated for the portion of the year that has elapsed, and will be paid within thirty days after the effective date of the change in control. If a participant is entitled to a pro rata award under the Incentive Plan upon a change in control, and also to a similar pro rata award under a change in control, employment agreement or severance agreement for the same fiscal year, the participant will receive the larger pro rata award but not both awards.</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Because participants are selected each year and because amounts payable under the Management Incentive Plan are based on performance measures and performance goals established for each year period, it cannot be determined at this time what amounts, if any, will be received by or allocated to any person or group of persons under the Management Incentive Plan if the Management Incentive Plan is re-approved by shareholders. Further information regarding awards to, and payout of, performance-based compensation to our Named Executive Officers is set forth under “Compensation of Executive Officers and Directors” and in the compensation tables in “Executive Compensation”.</w:t>
      </w:r>
    </w:p>
    <w:p>
      <w:pPr>
        <w:spacing w:after="0" w:line="2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Income Tax Consequences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An award under the Management Incentive Plan will constitute compensation taxable as ordinary wage income (and subject to income and employment tax withholding) to the participant to the extent it is paid in cash or immediately available equity-based awards. Generally, United will be entitled to a corresponding deduction equal to the amount of ordinary way income recognized by the participant.</w:t>
      </w:r>
    </w:p>
    <w:p>
      <w:pPr>
        <w:spacing w:after="0" w:line="7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Section 162(m) of the Code limits to $1 million the amount of compensation that may be deducted by United in any tax year with respect to a Named Executive Officer, with an exception for certain qualified performance-based compensation. As discussed above, the Management Incentive Plan is intended to be designed and administered in such a manner as to design incentive awards that may qualify payments to Named Executive Officers for that performance-based exception, except to the extent the Compensation Committee determines that such compliance is not required or not advisable in the best interests of United.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material terms of the performance goals under the Management Incentive Plan pursuant to Section 162(m) of the Internal Revenue Code. Accordingly, any abstention or broker non-vote will count as a vote against the proposal.</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Board of Directors unanimously recommends a vote “FOR”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3 — APPROVAL OF ADVISORY RESOLUTION</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SUPPORTING THE COMPENSATION PLAN FOR EXECUTIVE OFFICERS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Pursuant to the Dodd-Frank Wall Street Reform and Consumer Protection Act (the “</w:t>
      </w:r>
      <w:r>
        <w:rPr>
          <w:rFonts w:ascii="Arial" w:cs="Arial" w:eastAsia="Arial" w:hAnsi="Arial"/>
          <w:sz w:val="18"/>
          <w:szCs w:val="18"/>
          <w:b w:val="1"/>
          <w:bCs w:val="1"/>
          <w:i w:val="1"/>
          <w:iCs w:val="1"/>
          <w:color w:val="auto"/>
        </w:rPr>
        <w:t>Dodd-Frank Act</w:t>
      </w:r>
      <w:r>
        <w:rPr>
          <w:rFonts w:ascii="Arial" w:cs="Arial" w:eastAsia="Arial" w:hAnsi="Arial"/>
          <w:sz w:val="18"/>
          <w:szCs w:val="18"/>
          <w:color w:val="auto"/>
        </w:rPr>
        <w:t>”), United is asking its shareholders to vote, on an advisory basis, on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Program and Philosophy</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Our executive compensation program is designed to attract, reward and retain key employees, including our Named Executive Officers, who are critical to United’s long-term success. Shareholders are urged to read the “Compensation of Executive Officers and Directors” section of this Proxy Statement for greater detail about United’s executive compensation programs, including information about the fiscal year 2013 compensation of the Named Executive Officers.</w:t>
      </w:r>
    </w:p>
    <w:p>
      <w:pPr>
        <w:spacing w:after="0" w:line="8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United is asking the shareholders to indicate their support for the compensation of United’s Named Executive Officers as described in this Proxy Statement by voting in favor of the following resolution:</w:t>
      </w:r>
    </w:p>
    <w:p>
      <w:pPr>
        <w:spacing w:after="0" w:line="62" w:lineRule="exact"/>
        <w:rPr>
          <w:sz w:val="20"/>
          <w:szCs w:val="20"/>
          <w:color w:val="auto"/>
        </w:rPr>
      </w:pPr>
    </w:p>
    <w:p>
      <w:pPr>
        <w:jc w:val="both"/>
        <w:ind w:left="1620" w:right="739" w:firstLine="360"/>
        <w:spacing w:after="0" w:line="312" w:lineRule="auto"/>
        <w:rPr>
          <w:sz w:val="20"/>
          <w:szCs w:val="20"/>
          <w:color w:val="auto"/>
        </w:rPr>
      </w:pPr>
      <w:r>
        <w:rPr>
          <w:rFonts w:ascii="Arial" w:cs="Arial" w:eastAsia="Arial" w:hAnsi="Arial"/>
          <w:sz w:val="16"/>
          <w:szCs w:val="16"/>
          <w:color w:val="auto"/>
        </w:rPr>
        <w:t>“RESOLVED, that the shareholders approve the compensation of the Named Executive Officers, as described in the “Compensation of Executive Officers and Directors” section of this Proxy Statement, including the related “Compensation Discussion and Analysis,” compensation tables, notes and narratives.”</w:t>
      </w:r>
    </w:p>
    <w:p>
      <w:pPr>
        <w:spacing w:after="0" w:line="3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Even though this say-on-pay vote is advisory and therefore will not be binding on United, the Compensation Committee and the Board of Directors value the opinions of United’s shareholders. Accordingly, to the extent there is a significant vote against the compensation of the Named Executive Officers, the Board of Directors will consider the shareholders’ concerns and the Compensation Committee will evaluate what actions may be necessary or appropriate to address those concerns.</w:t>
      </w:r>
    </w:p>
    <w:p>
      <w:pPr>
        <w:spacing w:after="0" w:line="8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You may “for,” “against,” or “abstain” from the proposal to approve on an advisory basis the compensation of our Named Executive Officers.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advisory “say on pay” resolution supporting the compensation plan for the executive officers. Accordingly, any abstention or broker non-vote will count as a vote against the proposal.</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Board of Directors unanimously recommends a vote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4 — RATIFICATION OF APPOINTMENT OF INDEPENDENT</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REGISTERED PUBLIC ACCOUNTANT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Audit Committee of the Board of Directors has appointed PwC to serve as United’s independent registered public accountant during the year ended December 31, 2015. The Board of Directors will present at the Annual Meeting a proposal that such appointment be ratified.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2015. The proposal to ratify the appointment of PwC is approved if a majority of the votes cast by the holders of the shares entitled to vote at a meeting at which a quorum is present are voted for the proposal.</w:t>
      </w:r>
    </w:p>
    <w:p>
      <w:pPr>
        <w:spacing w:after="0" w:line="8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Neither United’s Articles nor Bylaws require that the shareholders ratify the appointment of PwC as its independent auditors. United is doing so because it believes it is a matter of good corporate practice. Should the shareholders not ratify the selection, the Audit Committee of the Board of Directors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Board of Directors unanimously recommends a vote “FOR”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PwC was the principal independent registered public accountant for United during the years ended December 31, 2014 and 2013. Representatives of PwC are expected to be present at the Annual Meeting and will have the opportunity to make a statement if they desire to do so and to respond to appropriate questions.</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During 2014 and 2013, United was billed the following amounts for services rendered by PwC:</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2013</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$850,000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$770,000</w:t>
            </w: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95,000</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8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8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$900,000</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$865,000</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3135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-874395</wp:posOffset>
            </wp:positionV>
            <wp:extent cx="43053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95"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fees for professional services for the integrated audits of United’s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includes fees billed for assurance related services that are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performance of the audit of United’s consolidated financial statements and effectiveness of internal control and are not reported under the audit fees items above. In 2014, these services consisted of services rendered in connection with United’s acquisition of Business Carolina, Inc. In 2013, these services consisted of consultations with PwC’s national office in connection with the reversal of the valuation allowance on United’s deferred tax asset.</w:t>
      </w:r>
    </w:p>
    <w:p>
      <w:pPr>
        <w:spacing w:after="0" w:line="85" w:lineRule="exact"/>
        <w:rPr>
          <w:sz w:val="20"/>
          <w:szCs w:val="20"/>
          <w:color w:val="auto"/>
        </w:rPr>
      </w:pPr>
    </w:p>
    <w:p>
      <w:pPr>
        <w:ind w:left="1620"/>
        <w:spacing w:after="0"/>
        <w:tabs>
          <w:tab w:leader="none" w:pos="242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6"/>
          <w:szCs w:val="16"/>
          <w:color w:val="auto"/>
        </w:rPr>
        <w:t>There were no tax services provided by PwC in 2014 or 2013.</w:t>
      </w:r>
    </w:p>
    <w:p>
      <w:pPr>
        <w:spacing w:after="0" w:line="117"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services performed by PwC that were not related to the audit of</w:t>
      </w:r>
      <w:r>
        <w:rPr>
          <w:rFonts w:ascii="Arial" w:cs="Arial" w:eastAsia="Arial" w:hAnsi="Arial"/>
          <w:sz w:val="18"/>
          <w:szCs w:val="18"/>
          <w:i w:val="1"/>
          <w:iCs w:val="1"/>
          <w:color w:val="auto"/>
        </w:rPr>
        <w:t xml:space="preserve"> </w:t>
      </w:r>
      <w:r>
        <w:rPr>
          <w:rFonts w:ascii="Arial" w:cs="Arial" w:eastAsia="Arial" w:hAnsi="Arial"/>
          <w:sz w:val="18"/>
          <w:szCs w:val="18"/>
          <w:color w:val="auto"/>
        </w:rPr>
        <w:t>United’s consolidated financial statements during 2014 or 2013.</w:t>
      </w:r>
    </w:p>
    <w:p>
      <w:pPr>
        <w:spacing w:after="0" w:line="62"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Expenses of Solicitation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No proposals or recommendations for director nominations by non-management have been presented for consideration at the Annual Meeting.</w:t>
      </w:r>
    </w:p>
    <w:p>
      <w:pPr>
        <w:spacing w:after="0" w:line="6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United expects that its 2016 Annual Meeting will be held in May 2016. Any proposals or director recommendations by non-management shareholders intended for presentation at the 2016 Annual Meeting must be received by United at its principal executive offices, attention of the Secretary, no later than December , 2015 to be considered for inclusion in the proxy statement for that meeting. For any other shareholder matter intended to be presented for action at the 2016 Annual Meeting, United must receive a shareholder’s notice on or before the later to occur of 14 days prior to the 2016 Annual Meeting or five days after notice of the 2016 Annual Meeting is provided to the shareholders.</w:t>
      </w:r>
    </w:p>
    <w:p>
      <w:pPr>
        <w:spacing w:after="0" w:line="2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2014, filed with the SEC on February 27, 2015.</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incorporate by reference all future filings we make with the SEC under Sections 13(a), 13(c), 14 and 15(d) of the Exchange Act after the initial filing date of this Proxy Statement and prior to the date of the Annual Meeting, except to the extent that any information contained in such filings is deemed “furnished” rather than “filed” in accordance with SEC rules.</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 xml:space="preserve">Documents incorporated by reference are available from United without charge. You may obtain documents incorporated by reference in this Proxy Statement by requesting them in writing or by telephone from Lois Rich, Investor Relations, United Community Banks, Inc., at 125 Highway 515 East, Blairsville, Georgia 30512, telephone number (706) 781-2265. United maintains a website at </w:t>
      </w:r>
      <w:r>
        <w:rPr>
          <w:rFonts w:ascii="Arial" w:cs="Arial" w:eastAsia="Arial" w:hAnsi="Arial"/>
          <w:sz w:val="18"/>
          <w:szCs w:val="18"/>
          <w:u w:val="single" w:color="auto"/>
          <w:color w:val="auto"/>
        </w:rPr>
        <w:t>www.ucbi.com</w:t>
      </w:r>
      <w:r>
        <w:rPr>
          <w:rFonts w:ascii="Arial" w:cs="Arial" w:eastAsia="Arial" w:hAnsi="Arial"/>
          <w:sz w:val="18"/>
          <w:szCs w:val="18"/>
          <w:color w:val="auto"/>
        </w:rPr>
        <w:t xml:space="preserve"> where the incorporated documents listed above can be accessed. Neither our website nor the information on our website is included or incorporated in, or is a part of, this Proxy Statement.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6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154940</wp:posOffset>
            </wp:positionV>
            <wp:extent cx="1132205" cy="488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322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UNITED COMMUNITY BANKS, INC.</w:t>
      </w:r>
    </w:p>
    <w:p>
      <w:pPr>
        <w:jc w:val="center"/>
        <w:ind w:right="-520"/>
        <w:spacing w:after="0" w:line="221" w:lineRule="auto"/>
        <w:rPr>
          <w:sz w:val="20"/>
          <w:szCs w:val="20"/>
          <w:color w:val="auto"/>
        </w:rPr>
      </w:pPr>
      <w:r>
        <w:rPr>
          <w:rFonts w:ascii="Arial" w:cs="Arial" w:eastAsia="Arial" w:hAnsi="Arial"/>
          <w:sz w:val="18"/>
          <w:szCs w:val="18"/>
          <w:b w:val="1"/>
          <w:bCs w:val="1"/>
          <w:color w:val="auto"/>
        </w:rPr>
        <w:t>MANAGEMENT ANNUAL INCENTIVE PLAN</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Effective as of January 1, 2007</w:t>
      </w:r>
    </w:p>
    <w:p>
      <w:pPr>
        <w:spacing w:after="0" w:line="178" w:lineRule="exact"/>
        <w:rPr>
          <w:sz w:val="20"/>
          <w:szCs w:val="20"/>
          <w:color w:val="auto"/>
        </w:rPr>
      </w:pPr>
    </w:p>
    <w:p>
      <w:pPr>
        <w:ind w:left="1920" w:hanging="652"/>
        <w:spacing w:after="0"/>
        <w:tabs>
          <w:tab w:leader="none" w:pos="19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AND EFFECTIVE DATE OF PLAN</w:t>
      </w:r>
    </w:p>
    <w:p>
      <w:pPr>
        <w:spacing w:after="0" w:line="108" w:lineRule="exact"/>
        <w:rPr>
          <w:sz w:val="20"/>
          <w:szCs w:val="20"/>
          <w:color w:val="auto"/>
        </w:rPr>
      </w:pPr>
    </w:p>
    <w:p>
      <w:pPr>
        <w:jc w:val="both"/>
        <w:ind w:left="1620" w:right="739"/>
        <w:spacing w:after="0" w:line="270" w:lineRule="auto"/>
        <w:rPr>
          <w:sz w:val="20"/>
          <w:szCs w:val="20"/>
          <w:color w:val="auto"/>
        </w:rPr>
      </w:pPr>
      <w:r>
        <w:rPr>
          <w:rFonts w:ascii="Arial" w:cs="Arial" w:eastAsia="Arial" w:hAnsi="Arial"/>
          <w:sz w:val="17"/>
          <w:szCs w:val="17"/>
          <w:color w:val="auto"/>
        </w:rPr>
        <w:t>United Community Banks, Inc. (the “Company”) hereby adopts the United Community Banks, Inc. Management Annual Incentive Plan (the “Plan”) for its executive officers and certain other executives and employees of the Company, its Subsidiaries and affiliates who are in management positions designated as eligible for participation by the Compensation Committee (the “Committee”) of the Board of Directors of the Company or its designee. The Plan shall be effective as of January 1, 2007 and shall remain in effect for an indefinite term, subject to the rights of amendment and termination in Section 13. Unless the Committee determines otherwise, payments shall only be made to the Chief Executive Officer (and such other Named Executive Officers as the Committee may determine) pursuant to the Plan after the Plan is approved by the stockholders of the Company.</w:t>
      </w:r>
    </w:p>
    <w:p>
      <w:pPr>
        <w:spacing w:after="0" w:line="191" w:lineRule="exact"/>
        <w:rPr>
          <w:sz w:val="20"/>
          <w:szCs w:val="20"/>
          <w:color w:val="auto"/>
        </w:rPr>
      </w:pPr>
    </w:p>
    <w:p>
      <w:pPr>
        <w:ind w:left="1920" w:hanging="652"/>
        <w:spacing w:after="0"/>
        <w:tabs>
          <w:tab w:leader="none" w:pos="19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108" w:lineRule="exact"/>
        <w:rPr>
          <w:sz w:val="20"/>
          <w:szCs w:val="20"/>
          <w:color w:val="auto"/>
        </w:rPr>
      </w:pPr>
    </w:p>
    <w:p>
      <w:pPr>
        <w:jc w:val="both"/>
        <w:ind w:left="1620" w:right="739"/>
        <w:spacing w:after="0" w:line="264" w:lineRule="auto"/>
        <w:rPr>
          <w:sz w:val="20"/>
          <w:szCs w:val="20"/>
          <w:color w:val="auto"/>
        </w:rPr>
      </w:pPr>
      <w:r>
        <w:rPr>
          <w:rFonts w:ascii="Arial" w:cs="Arial" w:eastAsia="Arial" w:hAnsi="Arial"/>
          <w:sz w:val="18"/>
          <w:szCs w:val="18"/>
          <w:color w:val="auto"/>
        </w:rPr>
        <w:t>The purpose of the Plan is to further the growth and financial success of the Company by offering performance incentives to designated executives and other employees who have significant responsibility for such success.</w:t>
      </w:r>
    </w:p>
    <w:p>
      <w:pPr>
        <w:spacing w:after="0" w:line="177" w:lineRule="exact"/>
        <w:rPr>
          <w:sz w:val="20"/>
          <w:szCs w:val="20"/>
          <w:color w:val="auto"/>
        </w:rPr>
      </w:pPr>
    </w:p>
    <w:p>
      <w:pPr>
        <w:ind w:left="1920" w:hanging="652"/>
        <w:spacing w:after="0"/>
        <w:tabs>
          <w:tab w:leader="none" w:pos="19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4" w:lineRule="exact"/>
        <w:rPr>
          <w:rFonts w:ascii="Arial" w:cs="Arial" w:eastAsia="Arial" w:hAnsi="Arial"/>
          <w:sz w:val="18"/>
          <w:szCs w:val="18"/>
          <w:b w:val="1"/>
          <w:bCs w:val="1"/>
          <w:color w:val="auto"/>
        </w:rPr>
      </w:pPr>
    </w:p>
    <w:p>
      <w:pPr>
        <w:jc w:val="both"/>
        <w:ind w:left="1980" w:right="759" w:hanging="352"/>
        <w:spacing w:after="0" w:line="259"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“Base Annual Salary” means the actual base salary paid to a Participant during the applicable Plan Year, increased by the amount of any pre-tax deferrals or other pre-tax payments made by the Participant to the Company’s deferred compensation or welfare plans (whether qualified or non-qualified).</w:t>
      </w:r>
    </w:p>
    <w:p>
      <w:pPr>
        <w:spacing w:after="0" w:line="78" w:lineRule="exact"/>
        <w:rPr>
          <w:rFonts w:ascii="Arial" w:cs="Arial" w:eastAsia="Arial" w:hAnsi="Arial"/>
          <w:sz w:val="18"/>
          <w:szCs w:val="18"/>
          <w:color w:val="auto"/>
        </w:rPr>
      </w:pPr>
    </w:p>
    <w:p>
      <w:pPr>
        <w:ind w:left="1980" w:hanging="3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the Company.</w:t>
      </w:r>
    </w:p>
    <w:p>
      <w:pPr>
        <w:spacing w:after="0" w:line="117" w:lineRule="exact"/>
        <w:rPr>
          <w:rFonts w:ascii="Arial" w:cs="Arial" w:eastAsia="Arial" w:hAnsi="Arial"/>
          <w:sz w:val="18"/>
          <w:szCs w:val="18"/>
          <w:color w:val="auto"/>
        </w:rPr>
      </w:pPr>
    </w:p>
    <w:p>
      <w:pPr>
        <w:ind w:left="1980" w:right="739" w:hanging="352"/>
        <w:spacing w:after="0" w:line="277"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“Change in Control” shall have the meaning ascribed to such term in the United Community Banks, Inc. 2000 Key Employee Stock Option Plan.</w:t>
      </w:r>
    </w:p>
    <w:p>
      <w:pPr>
        <w:spacing w:after="0" w:line="6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“Chief Executive Officer” means the chief executive officer of the Company, unless otherwise specified.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17" w:lineRule="exact"/>
        <w:rPr>
          <w:rFonts w:ascii="Arial" w:cs="Arial" w:eastAsia="Arial" w:hAnsi="Arial"/>
          <w:sz w:val="18"/>
          <w:szCs w:val="18"/>
          <w:color w:val="auto"/>
        </w:rPr>
      </w:pPr>
    </w:p>
    <w:p>
      <w:pPr>
        <w:ind w:left="1980" w:right="759" w:hanging="352"/>
        <w:spacing w:after="0" w:line="308" w:lineRule="auto"/>
        <w:tabs>
          <w:tab w:leader="none" w:pos="1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“Committee” means the Compensation Committee of the Board of Directors or any other committee designated by the Board of Directors which is responsible for administering the Plan.</w:t>
      </w:r>
    </w:p>
    <w:p>
      <w:pPr>
        <w:spacing w:after="0" w:line="38" w:lineRule="exact"/>
        <w:rPr>
          <w:rFonts w:ascii="Arial" w:cs="Arial" w:eastAsia="Arial" w:hAnsi="Arial"/>
          <w:sz w:val="17"/>
          <w:szCs w:val="17"/>
          <w:color w:val="auto"/>
        </w:rPr>
      </w:pPr>
    </w:p>
    <w:p>
      <w:pPr>
        <w:ind w:left="1980" w:hanging="3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“Company” means United Community Banks, Inc., a Georgia corporation, and its successors.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“Incentive Award” or “Award” means the bonus awarded to a Participant under the terms of the Plan.</w:t>
      </w:r>
    </w:p>
    <w:p>
      <w:pPr>
        <w:spacing w:after="0" w:line="140" w:lineRule="exact"/>
        <w:rPr>
          <w:rFonts w:ascii="Arial" w:cs="Arial" w:eastAsia="Arial" w:hAnsi="Arial"/>
          <w:sz w:val="16"/>
          <w:szCs w:val="16"/>
          <w:color w:val="auto"/>
        </w:rPr>
      </w:pPr>
    </w:p>
    <w:p>
      <w:pPr>
        <w:ind w:left="1980" w:right="759" w:hanging="352"/>
        <w:spacing w:after="0" w:line="277"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“Maximum Award” means the maximum percentage of Base Annual Salary which may be paid based upon the Relative Performance during the Plan Year.</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“Named Executive Officer” means for each calendar year the Chief Executive Officer and the four other most highly compensated executive officers whose compensation would be reportable in the “summary compensation table” in the Proxy Statement, if the report was prepared as of the last day of the calendar year.</w:t>
      </w:r>
    </w:p>
    <w:p>
      <w:pPr>
        <w:spacing w:after="0" w:line="78"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“Operating Unit” means a business operating unit of the Company with respect to which separate performance goals may be established hereunder. An Operating Unit may consist of one or more Subsidiaries or affiliates of the Company, or an unincorporated business unit.</w:t>
      </w:r>
    </w:p>
    <w:p>
      <w:pPr>
        <w:spacing w:after="0" w:line="7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“Participant” means an employee of the Company, an Operating Unit or an affiliate who is designated by the Committee or its designee to participate in the Plan.</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27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 Rules” means the guidelines established annually by the Committee pursuant to Section 4, subject, where applicable, to ratification by the Board of Directors.</w:t>
      </w:r>
    </w:p>
    <w:p>
      <w:pPr>
        <w:spacing w:after="0" w:line="62"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 Year” means the twelve month period which is the same as the Company’s fiscal year. The initial Plan Year for the Plan shall be January 1, 2007 through December 31, 2007.</w:t>
      </w:r>
    </w:p>
    <w:p>
      <w:pPr>
        <w:spacing w:after="0" w:line="62" w:lineRule="exact"/>
        <w:rPr>
          <w:rFonts w:ascii="Arial" w:cs="Arial" w:eastAsia="Arial" w:hAnsi="Arial"/>
          <w:sz w:val="18"/>
          <w:szCs w:val="18"/>
          <w:color w:val="auto"/>
        </w:rPr>
      </w:pPr>
    </w:p>
    <w:p>
      <w:pPr>
        <w:ind w:left="1980" w:right="759" w:hanging="352"/>
        <w:spacing w:after="0" w:line="308" w:lineRule="auto"/>
        <w:tabs>
          <w:tab w:leader="none" w:pos="1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“Relative Performance” means the extent to which the Company, or designated Operating Unit, or both, as applicable, achieves the performance measurement criteria set forth in the Plan Rules.</w:t>
      </w:r>
    </w:p>
    <w:p>
      <w:pPr>
        <w:spacing w:after="0" w:line="38" w:lineRule="exact"/>
        <w:rPr>
          <w:rFonts w:ascii="Arial" w:cs="Arial" w:eastAsia="Arial" w:hAnsi="Arial"/>
          <w:sz w:val="17"/>
          <w:szCs w:val="17"/>
          <w:color w:val="auto"/>
        </w:rPr>
      </w:pPr>
    </w:p>
    <w:p>
      <w:pPr>
        <w:jc w:val="both"/>
        <w:ind w:left="1980" w:right="759" w:hanging="352"/>
        <w:spacing w:after="0" w:line="312" w:lineRule="auto"/>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“Subsidiary” means any corporation in an unbroken chain of corporations starting with the Company if each of the corporations in the chain (other than the last corporation) owns stock possessing 50% or more of the voting power of all classes of stock in one of the other corporations in such chain.</w:t>
      </w:r>
    </w:p>
    <w:p>
      <w:pPr>
        <w:spacing w:after="0" w:line="38" w:lineRule="exact"/>
        <w:rPr>
          <w:rFonts w:ascii="Arial" w:cs="Arial" w:eastAsia="Arial" w:hAnsi="Arial"/>
          <w:sz w:val="16"/>
          <w:szCs w:val="16"/>
          <w:color w:val="auto"/>
        </w:rPr>
      </w:pPr>
    </w:p>
    <w:p>
      <w:pPr>
        <w:jc w:val="both"/>
        <w:ind w:left="1980" w:right="759" w:hanging="352"/>
        <w:spacing w:after="0" w:line="259"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Award” means the percentage (which may vary among Participants and from Plan Year to Plan Year) of Base Annual Salary which will be paid to a Participant as an Incentive Award if the performance measurement criteria applicable to the Participant for the Plan Year is achieved, as reflected in the Plan Rules for such Plan Year.</w:t>
      </w:r>
    </w:p>
    <w:p>
      <w:pPr>
        <w:spacing w:after="0" w:line="7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“Threshold Award” means the percentage of Base Annual Salary which corresponds to the minimum acceptable Relative Performance during the Plan Year.</w:t>
      </w:r>
    </w:p>
    <w:p>
      <w:pPr>
        <w:spacing w:after="0" w:line="166" w:lineRule="exact"/>
        <w:rPr>
          <w:sz w:val="20"/>
          <w:szCs w:val="20"/>
          <w:color w:val="auto"/>
        </w:rPr>
      </w:pPr>
    </w:p>
    <w:p>
      <w:pPr>
        <w:ind w:left="1920" w:hanging="652"/>
        <w:spacing w:after="0"/>
        <w:tabs>
          <w:tab w:leader="none" w:pos="19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08" w:lineRule="exact"/>
        <w:rPr>
          <w:sz w:val="20"/>
          <w:szCs w:val="20"/>
          <w:color w:val="auto"/>
        </w:rPr>
      </w:pPr>
    </w:p>
    <w:p>
      <w:pPr>
        <w:jc w:val="both"/>
        <w:ind w:left="1620" w:right="739"/>
        <w:spacing w:after="0" w:line="297" w:lineRule="auto"/>
        <w:rPr>
          <w:sz w:val="20"/>
          <w:szCs w:val="20"/>
          <w:color w:val="auto"/>
        </w:rPr>
      </w:pPr>
      <w:r>
        <w:rPr>
          <w:rFonts w:ascii="Arial" w:cs="Arial" w:eastAsia="Arial" w:hAnsi="Arial"/>
          <w:sz w:val="16"/>
          <w:szCs w:val="16"/>
          <w:color w:val="auto"/>
        </w:rPr>
        <w:t>The Plan will be administered by the Committee, subject to its right to delegate responsibility for administration of the Plan as it applies to Participants other than the Chief Executive Officer (and such other Named Executive Officers as the Committee may determine) pursuant to Section 7. The Committee will have authority to adopt or to establish Plan Rules with respect to the following matters for each Plan Year, subject to the right of the Board of Directors to ratify such Plan Rules as provided in this Section 4:</w:t>
      </w:r>
    </w:p>
    <w:p>
      <w:pPr>
        <w:spacing w:after="0" w:line="50" w:lineRule="exact"/>
        <w:rPr>
          <w:sz w:val="20"/>
          <w:szCs w:val="20"/>
          <w:color w:val="auto"/>
        </w:rPr>
      </w:pPr>
    </w:p>
    <w:p>
      <w:pPr>
        <w:ind w:left="1980" w:right="75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employees of the Company, its Operating Units and affiliates who are eligible to participate in the Plan;</w:t>
      </w:r>
    </w:p>
    <w:p>
      <w:pPr>
        <w:spacing w:after="0" w:line="62"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Target Award, Maximum Award (if any) and Threshold Award that can be granted to each Participant and the method for determining such award, which the Committee may amend from time to time;</w:t>
      </w:r>
    </w:p>
    <w:p>
      <w:pPr>
        <w:spacing w:after="0" w:line="73" w:lineRule="exact"/>
        <w:rPr>
          <w:rFonts w:ascii="Arial" w:cs="Arial" w:eastAsia="Arial" w:hAnsi="Arial"/>
          <w:sz w:val="18"/>
          <w:szCs w:val="18"/>
          <w:color w:val="auto"/>
        </w:rPr>
      </w:pPr>
    </w:p>
    <w:p>
      <w:pPr>
        <w:jc w:val="both"/>
        <w:ind w:left="1980" w:right="739" w:hanging="352"/>
        <w:spacing w:after="0" w:line="269" w:lineRule="auto"/>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performance targets and the qualitative measurement criteria to be used in determining the Company’s or an Operating Unit’s Relative Performance, which will include one or more of the following targets or measures, as determined by the Committee or its designee each year: net operating income or the growth in such net operating income; operating earnings per share or the growth in such operating earnings per share; annual growth in consolidated total revenue, loans and deposits; changes or increases in market share; earnings before taxes or the growth in such earnings; stock price or the growth in such price; return on equity, tangible equity, and assets or the growth on such returns; total shareholders’ return or the growth in such return; level of expenses or the reduction of expenses, overhead ratios or changes in such ratios, efficiency ratios or changes in such ratios; loan quality or the changes in the level of loan quality or changes in the ratios of net charge-offs to loans or non-performing assets to assets; customer satisfaction scores or changes in scores; and/or, economic value added or changes in such value added; and</w:t>
      </w:r>
    </w:p>
    <w:p>
      <w:pPr>
        <w:spacing w:after="0" w:line="71" w:lineRule="exact"/>
        <w:rPr>
          <w:rFonts w:ascii="Arial" w:cs="Arial" w:eastAsia="Arial" w:hAnsi="Arial"/>
          <w:sz w:val="17"/>
          <w:szCs w:val="17"/>
          <w:color w:val="auto"/>
        </w:rPr>
      </w:pPr>
    </w:p>
    <w:p>
      <w:pPr>
        <w:ind w:left="1980" w:right="73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or times, the form of payment, and the conditions subject to which any Incentive Award may become payable.</w:t>
      </w:r>
    </w:p>
    <w:p>
      <w:pPr>
        <w:spacing w:after="0" w:line="62" w:lineRule="exact"/>
        <w:rPr>
          <w:sz w:val="20"/>
          <w:szCs w:val="20"/>
          <w:color w:val="auto"/>
        </w:rPr>
      </w:pPr>
    </w:p>
    <w:p>
      <w:pPr>
        <w:jc w:val="both"/>
        <w:ind w:left="1620" w:right="739"/>
        <w:spacing w:after="0" w:line="272" w:lineRule="auto"/>
        <w:rPr>
          <w:sz w:val="20"/>
          <w:szCs w:val="20"/>
          <w:color w:val="auto"/>
        </w:rPr>
      </w:pPr>
      <w:r>
        <w:rPr>
          <w:rFonts w:ascii="Arial" w:cs="Arial" w:eastAsia="Arial" w:hAnsi="Arial"/>
          <w:sz w:val="17"/>
          <w:szCs w:val="17"/>
          <w:color w:val="auto"/>
        </w:rPr>
        <w:t>The Plan Rules will be adopted by the Committee prior to, or as soon as practical after, the commencement of each Plan Year. Subject to the provisions of the Plan and the Committee’s right to delegate its responsibilities, the Committee will also have the discretionary authority to interpret the Plan, to prescribe, amend and rescind rules and regulations relating to it, and to make all other determinations deemed necessary or advisable in administering the Plan. The determinations of the Committee on the matters referred to in paragraphs (a) through (d) of this Section 4 with respect to the Chief Executive Officer (and such other Named Executive Officers as the Committee may determine)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spacing w:after="0" w:line="273" w:lineRule="auto"/>
        <w:rPr>
          <w:sz w:val="20"/>
          <w:szCs w:val="20"/>
          <w:color w:val="auto"/>
        </w:rPr>
      </w:pPr>
      <w:r>
        <w:rPr>
          <w:rFonts w:ascii="Arial" w:cs="Arial" w:eastAsia="Arial" w:hAnsi="Arial"/>
          <w:sz w:val="17"/>
          <w:szCs w:val="17"/>
          <w:color w:val="auto"/>
        </w:rPr>
        <w:t>shall be submitted at least annually to the Board of Directors for its consideration and ratification. For Participants other than the Chief Executive Officer (and such other Named Executive Officers as the Committee may determine), the Committee may in its discretion (i) establish performance measures and criteria not listed in this Section 4 without obtaining stockholder approval; and (ii) during a Plan Year revise the performance targets and measurement criteria to the extent the Committee believes necessary to achieve the purposes of the Plan in light of any unexpected or unusual circumstances.</w:t>
      </w:r>
    </w:p>
    <w:p>
      <w:pPr>
        <w:spacing w:after="0" w:line="188" w:lineRule="exact"/>
        <w:rPr>
          <w:sz w:val="20"/>
          <w:szCs w:val="20"/>
          <w:color w:val="auto"/>
        </w:rPr>
      </w:pPr>
    </w:p>
    <w:p>
      <w:pPr>
        <w:ind w:left="1920" w:hanging="652"/>
        <w:spacing w:after="0"/>
        <w:tabs>
          <w:tab w:leader="none" w:pos="19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08" w:lineRule="exact"/>
        <w:rPr>
          <w:sz w:val="20"/>
          <w:szCs w:val="20"/>
          <w:color w:val="auto"/>
        </w:rPr>
      </w:pPr>
    </w:p>
    <w:p>
      <w:pPr>
        <w:jc w:val="both"/>
        <w:ind w:left="1620" w:right="739"/>
        <w:spacing w:after="0" w:line="269" w:lineRule="auto"/>
        <w:rPr>
          <w:sz w:val="20"/>
          <w:szCs w:val="20"/>
          <w:color w:val="auto"/>
        </w:rPr>
      </w:pPr>
      <w:r>
        <w:rPr>
          <w:rFonts w:ascii="Arial" w:cs="Arial" w:eastAsia="Arial" w:hAnsi="Arial"/>
          <w:sz w:val="17"/>
          <w:szCs w:val="17"/>
          <w:color w:val="auto"/>
        </w:rPr>
        <w:t>Eligibility for participation in the Plan is limited to executive officers of the Company and certain other executives and employees of the Company and its Operating Units or affiliates who hold key management and staff positions. From among those eligible and based upon the recommendations of the Chief Executive Officer and other designees, the Committee will designate by name or position the Participants each Plan Year. Any employee who is a Participant in one Plan Year may be excluded from participation in any other Plan Year. If, during the Plan Year, a Participant other than the Chief Executive Officer (and such other Named Executive Officers as the Committee may determine) changes employment positions to a new position which corresponds to a different award level, the Committee may, in its discretion, adjust the Participant’s award level for such Plan Year. The Committee may, in its discretion, designate employees who are hired after the beginning of the Plan Year as Participants for such Plan Year and as eligible to receive full or partial Incentive Awards for such year.</w:t>
      </w:r>
    </w:p>
    <w:p>
      <w:pPr>
        <w:spacing w:after="0" w:line="179" w:lineRule="exact"/>
        <w:rPr>
          <w:sz w:val="20"/>
          <w:szCs w:val="20"/>
          <w:color w:val="auto"/>
        </w:rPr>
      </w:pPr>
    </w:p>
    <w:p>
      <w:pPr>
        <w:ind w:left="1920" w:hanging="652"/>
        <w:spacing w:after="0"/>
        <w:tabs>
          <w:tab w:leader="none" w:pos="19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6.1 Determination of the Amount of Incentive Awards</w:t>
      </w:r>
    </w:p>
    <w:p>
      <w:pPr>
        <w:spacing w:after="0" w:line="121" w:lineRule="exact"/>
        <w:rPr>
          <w:sz w:val="20"/>
          <w:szCs w:val="20"/>
          <w:color w:val="auto"/>
        </w:rPr>
      </w:pPr>
    </w:p>
    <w:p>
      <w:pPr>
        <w:jc w:val="both"/>
        <w:ind w:left="1620" w:right="739"/>
        <w:spacing w:after="0" w:line="267" w:lineRule="auto"/>
        <w:rPr>
          <w:sz w:val="20"/>
          <w:szCs w:val="20"/>
          <w:color w:val="auto"/>
        </w:rPr>
      </w:pPr>
      <w:r>
        <w:rPr>
          <w:rFonts w:ascii="Arial" w:cs="Arial" w:eastAsia="Arial" w:hAnsi="Arial"/>
          <w:sz w:val="17"/>
          <w:szCs w:val="17"/>
          <w:color w:val="auto"/>
        </w:rPr>
        <w:t>At the end of each Plan Year, the Committee or its designee shall certify the extent to which the performance targets and measurement criteria established pursuant to Section 4 have been achieved for such Plan Year based upon financial information provided by the Company. A Participant’s Incentive Award shall be computed by the Committee based upon the achievement of the established performance targets, qualitative measurement criteria and the requirements of the Plan. In addition to any adjustments provided by the Incentive Award, the Committee, in determining whether performance targets and qualitative measures have been met, may adjust the Corporation’s financial results to exclude the effect of unusual charges or income items or other events, including acquisitions or dispositions of businesses or assets, recapitalizations, reorganizations, restructurings, reductions in force, changes in accounting rules, which are distortive of results for the year (either on a segment or consolidated basis); provided, that for purposes of determining the Incentive Awards of the Chief Executive Officer (and such other Named Executive Officers as the Committee may determine), that are intended to qualify as performance-based compensation under Code Section 162(m), the Committee shall (in addition to such specific adjustments as may be provided in the award) exclude unusual items whose exclusion has the effect of increasing Relative Performance only if such items constitute “extraordinary items” under generally accepted accounting principles or are unusual or non-recurring events or items. In addition, the Committee will adjust its calculations to exclude the unanticipated effect on financial results of changes in the Code or other tax laws, or the regulations relating thereto.</w:t>
      </w:r>
    </w:p>
    <w:p>
      <w:pPr>
        <w:spacing w:after="0" w:line="83" w:lineRule="exact"/>
        <w:rPr>
          <w:sz w:val="20"/>
          <w:szCs w:val="20"/>
          <w:color w:val="auto"/>
        </w:rPr>
      </w:pPr>
    </w:p>
    <w:p>
      <w:pPr>
        <w:jc w:val="both"/>
        <w:ind w:left="1620" w:right="739"/>
        <w:spacing w:after="0" w:line="257" w:lineRule="auto"/>
        <w:rPr>
          <w:sz w:val="20"/>
          <w:szCs w:val="20"/>
          <w:color w:val="auto"/>
        </w:rPr>
      </w:pPr>
      <w:r>
        <w:rPr>
          <w:rFonts w:ascii="Arial" w:cs="Arial" w:eastAsia="Arial" w:hAnsi="Arial"/>
          <w:sz w:val="18"/>
          <w:szCs w:val="18"/>
          <w:color w:val="auto"/>
        </w:rPr>
        <w:t>The Committee may, in its discretion, decrease the amount of a Participant’s Incentive Award for any reason, including the Committee’s judgment that the performance targets and qualitative measures have become an inappropriate measure of achievement, a change in the employment status, position or duties of the Participant, unsatisfactory performance of the Participant, or for such other reasons as the Committee deems appropriate.</w:t>
      </w:r>
    </w:p>
    <w:p>
      <w:pPr>
        <w:spacing w:after="0" w:line="80" w:lineRule="exact"/>
        <w:rPr>
          <w:sz w:val="20"/>
          <w:szCs w:val="20"/>
          <w:color w:val="auto"/>
        </w:rPr>
      </w:pPr>
    </w:p>
    <w:p>
      <w:pPr>
        <w:jc w:val="both"/>
        <w:ind w:left="1620" w:right="739"/>
        <w:spacing w:after="0" w:line="255" w:lineRule="auto"/>
        <w:rPr>
          <w:sz w:val="20"/>
          <w:szCs w:val="20"/>
          <w:color w:val="auto"/>
        </w:rPr>
      </w:pPr>
      <w:r>
        <w:rPr>
          <w:rFonts w:ascii="Arial" w:cs="Arial" w:eastAsia="Arial" w:hAnsi="Arial"/>
          <w:sz w:val="18"/>
          <w:szCs w:val="18"/>
          <w:color w:val="auto"/>
        </w:rPr>
        <w:t>In the event that the Company’s or an Operating Unit’s performance is below the anticipated performance thresholds for the Plan Year and the Incentive Awards are below expectations or not earned at all, the Committee may in its discretion grant Incentive Awards (or increase the otherwise earned Incentive Awards) to deserving Participants, except for Incentive Awards to the Chief Executive Officer and other Named Executive Officers that are intended to qualify as performance-based compensation under Code Section 162(m).</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spacing w:after="0" w:line="255" w:lineRule="auto"/>
        <w:rPr>
          <w:sz w:val="20"/>
          <w:szCs w:val="20"/>
          <w:color w:val="auto"/>
        </w:rPr>
      </w:pPr>
      <w:r>
        <w:rPr>
          <w:rFonts w:ascii="Arial" w:cs="Arial" w:eastAsia="Arial" w:hAnsi="Arial"/>
          <w:sz w:val="18"/>
          <w:szCs w:val="18"/>
          <w:color w:val="auto"/>
        </w:rPr>
        <w:t>The Plan Rules and Incentive Awards under the Plan shall be administered in a manner to qualify payments under the Plan to the Chief Executive Officer (and such other Named Executive Officers as the Committee may determine) for the performance-based exception under Code Section 162(m) and the regulations thereunder, except where the Compensation Committee or the Board of Directors determines such compliance is not necessary. The maximum Incentive Award that may be paid to an individual Participant for a Plan Year shall be $2 million.</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6.2 Eligibility for Payment of Incentive Award</w:t>
      </w:r>
    </w:p>
    <w:p>
      <w:pPr>
        <w:spacing w:after="0" w:line="121" w:lineRule="exact"/>
        <w:rPr>
          <w:sz w:val="20"/>
          <w:szCs w:val="20"/>
          <w:color w:val="auto"/>
        </w:rPr>
      </w:pPr>
    </w:p>
    <w:p>
      <w:pPr>
        <w:jc w:val="both"/>
        <w:ind w:left="1620" w:right="739"/>
        <w:spacing w:after="0" w:line="287" w:lineRule="auto"/>
        <w:rPr>
          <w:sz w:val="20"/>
          <w:szCs w:val="20"/>
          <w:color w:val="auto"/>
        </w:rPr>
      </w:pPr>
      <w:r>
        <w:rPr>
          <w:rFonts w:ascii="Arial" w:cs="Arial" w:eastAsia="Arial" w:hAnsi="Arial"/>
          <w:sz w:val="16"/>
          <w:szCs w:val="16"/>
          <w:color w:val="auto"/>
        </w:rPr>
        <w:t>No Participant will have any vested right to receive any Incentive Award until such date as the Board of Directors has ratified the Committee’s determination with respect to the payment of individual Incentive Awards, except where the Committee determines such ratification is not necessary. No Incentive Award will be paid to any Participant who is not an active employee of the Company, an Operating Unit or an affiliate at the end of the Plan Year to which the Incentive Award relates; provided, however, at the discretion of the Committee or its designee (subject to ratification by the Board of Directors, where required, and the limitations of Code Section 162(m)), partial Incentive Awards may be paid to Participants (or their beneficiaries) who are terminated without cause (as determined by the Committee or its designee) or who retire, die or become permanently and totally disabled during the Plan Year. No Participant entitled to receive an Incentive Award shall have any interest in any specific asset of the Company, and such Participant’s rights shall be equivalent to that of a general unsecured creditor of the Company.</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6.3 Payment of Awards</w:t>
      </w:r>
    </w:p>
    <w:p>
      <w:pPr>
        <w:spacing w:after="0" w:line="121" w:lineRule="exact"/>
        <w:rPr>
          <w:sz w:val="20"/>
          <w:szCs w:val="20"/>
          <w:color w:val="auto"/>
        </w:rPr>
      </w:pPr>
    </w:p>
    <w:p>
      <w:pPr>
        <w:jc w:val="both"/>
        <w:ind w:left="1620" w:right="739"/>
        <w:spacing w:after="0" w:line="269" w:lineRule="auto"/>
        <w:rPr>
          <w:sz w:val="20"/>
          <w:szCs w:val="20"/>
          <w:color w:val="auto"/>
        </w:rPr>
      </w:pPr>
      <w:r>
        <w:rPr>
          <w:rFonts w:ascii="Arial" w:cs="Arial" w:eastAsia="Arial" w:hAnsi="Arial"/>
          <w:sz w:val="17"/>
          <w:szCs w:val="17"/>
          <w:color w:val="auto"/>
        </w:rPr>
        <w:t>Payment of the Incentive Awards will be made as soon as practicable after their determination pursuant to Sections 6.1 and 6.2, subject to the Committee’s right to allow a Participant to defer payment pursuant to an applicable deferred compensation plan of the Company, if applicable. Payment under the Plan will generally be made in a lump sum in cash, in restricted stock units, in options to purchase Common Stock of the Company (which would be in addition to any options separately granted to the Participant under the Company’s 2000 Key Employee Stock Option Plan), or in a combination of cash, restricted stock units and stock options, as determined by the Committee, either at the time Awards are established or when they are paid (which may be different for different groups of Participants). In addition, the Committee may provide some or all of the Participants the right to elect, within the time frames provided by the Committee, to receive a portion or all of an Incentive Award in restricted stock units or in options to purchase Common Stock of the Company, rather than cash.</w:t>
      </w:r>
    </w:p>
    <w:p>
      <w:pPr>
        <w:spacing w:after="0" w:line="192" w:lineRule="exact"/>
        <w:rPr>
          <w:sz w:val="20"/>
          <w:szCs w:val="20"/>
          <w:color w:val="auto"/>
        </w:rPr>
      </w:pPr>
    </w:p>
    <w:p>
      <w:pPr>
        <w:ind w:left="1920" w:hanging="652"/>
        <w:spacing w:after="0"/>
        <w:tabs>
          <w:tab w:leader="none" w:pos="1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AUTHORITY BY THE COMMITTEE</w:t>
      </w:r>
    </w:p>
    <w:p>
      <w:pPr>
        <w:spacing w:after="0" w:line="108" w:lineRule="exact"/>
        <w:rPr>
          <w:sz w:val="20"/>
          <w:szCs w:val="20"/>
          <w:color w:val="auto"/>
        </w:rPr>
      </w:pPr>
    </w:p>
    <w:p>
      <w:pPr>
        <w:jc w:val="both"/>
        <w:ind w:left="1620" w:right="739"/>
        <w:spacing w:after="0" w:line="290" w:lineRule="auto"/>
        <w:rPr>
          <w:sz w:val="20"/>
          <w:szCs w:val="20"/>
          <w:color w:val="auto"/>
        </w:rPr>
      </w:pPr>
      <w:r>
        <w:rPr>
          <w:rFonts w:ascii="Arial" w:cs="Arial" w:eastAsia="Arial" w:hAnsi="Arial"/>
          <w:sz w:val="16"/>
          <w:szCs w:val="16"/>
          <w:color w:val="auto"/>
        </w:rPr>
        <w:t>Notwithstanding the responsibilities of the Committee set forth herein, the Committee may delegate to the Chief Executive Officer or others all or any portion of its responsibility for administration of the Plan as it relates to Participants other than the Chief Executive Officer. Such delegation may include, without limitation, the authority to designate employees who can participate in the Plan, to establish Plan Rules, to interpret the Plan, to determine the extent to which performance criteria have been achieved, and to adjust any Incentive Awards that are payable. In the case of each such delegation, the administrative actions of the delegate shall be subject to the approval of the person within the Corporation to whom the delegate reports (or, in the case of a delegation to the Chief Executive Officer, to the approval of the Committee).</w:t>
      </w:r>
    </w:p>
    <w:p>
      <w:pPr>
        <w:spacing w:after="0" w:line="162" w:lineRule="exact"/>
        <w:rPr>
          <w:sz w:val="20"/>
          <w:szCs w:val="20"/>
          <w:color w:val="auto"/>
        </w:rPr>
      </w:pPr>
    </w:p>
    <w:p>
      <w:pPr>
        <w:ind w:left="1920" w:hanging="652"/>
        <w:spacing w:after="0"/>
        <w:tabs>
          <w:tab w:leader="none" w:pos="19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108" w:lineRule="exact"/>
        <w:rPr>
          <w:sz w:val="20"/>
          <w:szCs w:val="20"/>
          <w:color w:val="auto"/>
        </w:rPr>
      </w:pPr>
    </w:p>
    <w:p>
      <w:pPr>
        <w:jc w:val="both"/>
        <w:ind w:left="1620" w:right="739"/>
        <w:spacing w:after="0" w:line="272" w:lineRule="auto"/>
        <w:rPr>
          <w:sz w:val="20"/>
          <w:szCs w:val="20"/>
          <w:color w:val="auto"/>
        </w:rPr>
      </w:pPr>
      <w:r>
        <w:rPr>
          <w:rFonts w:ascii="Arial" w:cs="Arial" w:eastAsia="Arial" w:hAnsi="Arial"/>
          <w:sz w:val="17"/>
          <w:szCs w:val="17"/>
          <w:color w:val="auto"/>
        </w:rPr>
        <w:t>Upon the occurrence of a Change in Control, unless the Participant otherwise elects in writing in accordance with such rules as the Committee may establish, the Participant’s Incentive Award for the Plan Year during which the Change in Control occurs shall be determined as if the Target Award level of performance has been achieved (without any reductions under Section 6.1) and shall be deemed to have been fully earned for the Plan Year, provided that` the Participant shall only be entitled to a pro rata portion of the Incentive Award based upon the number of days within the Plan Year that had elapsed as of the effective date of the Change in Control. The Incentive Award amount shall be paid</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spacing w:after="0" w:line="271" w:lineRule="auto"/>
        <w:rPr>
          <w:sz w:val="20"/>
          <w:szCs w:val="20"/>
          <w:color w:val="auto"/>
        </w:rPr>
      </w:pPr>
      <w:r>
        <w:rPr>
          <w:rFonts w:ascii="Arial" w:cs="Arial" w:eastAsia="Arial" w:hAnsi="Arial"/>
          <w:sz w:val="17"/>
          <w:szCs w:val="17"/>
          <w:color w:val="auto"/>
        </w:rPr>
        <w:t>only in cash within thirty (30) days of the effective date of the Change in Control. The Incentive Award payable for the Plan Year during which a Change in Control occurs shall be the greater of the amount provided for under this Section 8 or the amount of the Incentive Award payable for such Plan Year to the Participant under the terms of any employment agreement or severance agreement with the Corporation, its Operating Units or affiliates, provided that the Participant shall not receive a duplicate Incentive Award for the same Plan Year (or portion of a Plan Year). Notwithstanding the above, the Committee may provide in the Plan Rules for alternative consequences upon a Change in Control, which may apply to some or all Participants and which may vary among Participants.</w:t>
      </w:r>
    </w:p>
    <w:p>
      <w:pPr>
        <w:spacing w:after="0" w:line="243" w:lineRule="exact"/>
        <w:rPr>
          <w:sz w:val="20"/>
          <w:szCs w:val="20"/>
          <w:color w:val="auto"/>
        </w:rPr>
      </w:pPr>
    </w:p>
    <w:p>
      <w:pPr>
        <w:ind w:left="1920" w:hanging="652"/>
        <w:spacing w:after="0"/>
        <w:tabs>
          <w:tab w:leader="none" w:pos="1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108" w:lineRule="exact"/>
        <w:rPr>
          <w:sz w:val="20"/>
          <w:szCs w:val="20"/>
          <w:color w:val="auto"/>
        </w:rPr>
      </w:pPr>
    </w:p>
    <w:p>
      <w:pPr>
        <w:jc w:val="both"/>
        <w:ind w:left="1620" w:right="739"/>
        <w:spacing w:after="0" w:line="255" w:lineRule="auto"/>
        <w:rPr>
          <w:sz w:val="20"/>
          <w:szCs w:val="20"/>
          <w:color w:val="auto"/>
        </w:rPr>
      </w:pPr>
      <w:r>
        <w:rPr>
          <w:rFonts w:ascii="Arial" w:cs="Arial" w:eastAsia="Arial" w:hAnsi="Arial"/>
          <w:sz w:val="18"/>
          <w:szCs w:val="18"/>
          <w:color w:val="auto"/>
        </w:rPr>
        <w:t>To the extent provided by the Committee or its designee, each Participant will designate a person or persons to receive, in the event of death, any Incentive Award to which the Participant would then be entitled under Section 6.2. Such designation will be made in the manner determined by the Committee and may be revoked by the Participant in writing. If the Committee does not provide for a designation of a beneficiary or if a Participant fails effectively to designate a beneficiary, then the estate of the Participant will be deemed to be the beneficiary.</w:t>
      </w:r>
    </w:p>
    <w:p>
      <w:pPr>
        <w:spacing w:after="0" w:line="243" w:lineRule="exact"/>
        <w:rPr>
          <w:sz w:val="20"/>
          <w:szCs w:val="20"/>
          <w:color w:val="auto"/>
        </w:rPr>
      </w:pPr>
    </w:p>
    <w:p>
      <w:pPr>
        <w:ind w:left="1920" w:hanging="652"/>
        <w:spacing w:after="0"/>
        <w:tabs>
          <w:tab w:leader="none" w:pos="19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108" w:lineRule="exact"/>
        <w:rPr>
          <w:sz w:val="20"/>
          <w:szCs w:val="20"/>
          <w:color w:val="auto"/>
        </w:rPr>
      </w:pPr>
    </w:p>
    <w:p>
      <w:pPr>
        <w:ind w:left="1620" w:right="739"/>
        <w:spacing w:after="0" w:line="277" w:lineRule="auto"/>
        <w:rPr>
          <w:sz w:val="20"/>
          <w:szCs w:val="20"/>
          <w:color w:val="auto"/>
        </w:rPr>
      </w:pPr>
      <w:r>
        <w:rPr>
          <w:rFonts w:ascii="Arial" w:cs="Arial" w:eastAsia="Arial" w:hAnsi="Arial"/>
          <w:sz w:val="18"/>
          <w:szCs w:val="18"/>
          <w:color w:val="auto"/>
        </w:rPr>
        <w:t>The Company shall deduct from each Incentive Award the amount of any taxes required to be withheld by any governmental authority.</w:t>
      </w:r>
    </w:p>
    <w:p>
      <w:pPr>
        <w:spacing w:after="0" w:line="220" w:lineRule="exact"/>
        <w:rPr>
          <w:sz w:val="20"/>
          <w:szCs w:val="20"/>
          <w:color w:val="auto"/>
        </w:rPr>
      </w:pPr>
    </w:p>
    <w:p>
      <w:pPr>
        <w:ind w:left="1920" w:hanging="652"/>
        <w:spacing w:after="0"/>
        <w:tabs>
          <w:tab w:leader="none" w:pos="19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08" w:lineRule="exact"/>
        <w:rPr>
          <w:sz w:val="20"/>
          <w:szCs w:val="20"/>
          <w:color w:val="auto"/>
        </w:rPr>
      </w:pPr>
    </w:p>
    <w:p>
      <w:pPr>
        <w:jc w:val="both"/>
        <w:ind w:left="1620" w:right="739"/>
        <w:spacing w:after="0" w:line="259" w:lineRule="auto"/>
        <w:rPr>
          <w:sz w:val="20"/>
          <w:szCs w:val="20"/>
          <w:color w:val="auto"/>
        </w:rPr>
      </w:pPr>
      <w:r>
        <w:rPr>
          <w:rFonts w:ascii="Arial" w:cs="Arial" w:eastAsia="Arial" w:hAnsi="Arial"/>
          <w:sz w:val="18"/>
          <w:szCs w:val="18"/>
          <w:color w:val="auto"/>
        </w:rPr>
        <w:t>Nothing in the Plan or in any Incentive Award shall confer (or be deemed to confer) upon any Participant the right to continue in the employ of the Company, an Operating Unit or an affiliate, or interfere with or restrict in any way the rights of the Company, an Operating Unit or an affiliate to discharge any Participant at any time for any reason whatsoever, with or without cause.</w:t>
      </w:r>
    </w:p>
    <w:p>
      <w:pPr>
        <w:spacing w:after="0" w:line="250" w:lineRule="exact"/>
        <w:rPr>
          <w:sz w:val="20"/>
          <w:szCs w:val="20"/>
          <w:color w:val="auto"/>
        </w:rPr>
      </w:pPr>
    </w:p>
    <w:p>
      <w:pPr>
        <w:ind w:left="1920" w:hanging="652"/>
        <w:spacing w:after="0"/>
        <w:tabs>
          <w:tab w:leader="none" w:pos="19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p>
    <w:p>
      <w:pPr>
        <w:spacing w:after="0" w:line="108" w:lineRule="exact"/>
        <w:rPr>
          <w:sz w:val="20"/>
          <w:szCs w:val="20"/>
          <w:color w:val="auto"/>
        </w:rPr>
      </w:pPr>
    </w:p>
    <w:p>
      <w:pPr>
        <w:jc w:val="both"/>
        <w:ind w:left="1620" w:right="739"/>
        <w:spacing w:after="0" w:line="264" w:lineRule="auto"/>
        <w:rPr>
          <w:sz w:val="20"/>
          <w:szCs w:val="20"/>
          <w:color w:val="auto"/>
        </w:rPr>
      </w:pPr>
      <w:r>
        <w:rPr>
          <w:rFonts w:ascii="Arial" w:cs="Arial" w:eastAsia="Arial" w:hAnsi="Arial"/>
          <w:sz w:val="18"/>
          <w:szCs w:val="18"/>
          <w:color w:val="auto"/>
        </w:rPr>
        <w:t>All obligations of the Company under the Plan with respect to Incentive Awards granted hereunder shall be binding upon any successor to the Corporation, whether such successor is the result of an acquisition of stock or assets of the Company, a merger, a consolidation or otherwise.</w:t>
      </w:r>
    </w:p>
    <w:p>
      <w:pPr>
        <w:spacing w:after="0" w:line="231" w:lineRule="exact"/>
        <w:rPr>
          <w:sz w:val="20"/>
          <w:szCs w:val="20"/>
          <w:color w:val="auto"/>
        </w:rPr>
      </w:pPr>
    </w:p>
    <w:p>
      <w:pPr>
        <w:ind w:left="1920" w:hanging="652"/>
        <w:spacing w:after="0"/>
        <w:tabs>
          <w:tab w:leader="none" w:pos="1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 OF THE PLAN; GOVERNING LAW</w:t>
      </w:r>
    </w:p>
    <w:p>
      <w:pPr>
        <w:spacing w:after="0" w:line="108" w:lineRule="exact"/>
        <w:rPr>
          <w:sz w:val="20"/>
          <w:szCs w:val="20"/>
          <w:color w:val="auto"/>
        </w:rPr>
      </w:pPr>
    </w:p>
    <w:p>
      <w:pPr>
        <w:jc w:val="both"/>
        <w:ind w:left="1620" w:right="739"/>
        <w:spacing w:after="0" w:line="257" w:lineRule="auto"/>
        <w:rPr>
          <w:sz w:val="20"/>
          <w:szCs w:val="20"/>
          <w:color w:val="auto"/>
        </w:rPr>
      </w:pPr>
      <w:r>
        <w:rPr>
          <w:rFonts w:ascii="Arial" w:cs="Arial" w:eastAsia="Arial" w:hAnsi="Arial"/>
          <w:sz w:val="18"/>
          <w:szCs w:val="18"/>
          <w:color w:val="auto"/>
        </w:rPr>
        <w:t>The Committee, subject to the ratification rights of the Board of Directors, has the right to suspend or terminate the Plan at any time, or to amend the Plan in any respect, provided that no such action will, without the consent of a Participant, adversely affect the Participant’s rights under an Incentive Award that has been approved under Section 6.2. The Plan shall be interpreted and construed under the laws of the State of Georgia.</w:t>
      </w:r>
    </w:p>
    <w:p>
      <w:pPr>
        <w:spacing w:after="0" w:line="149" w:lineRule="exact"/>
        <w:rPr>
          <w:sz w:val="20"/>
          <w:szCs w:val="20"/>
          <w:color w:val="auto"/>
        </w:rPr>
      </w:pPr>
    </w:p>
    <w:p>
      <w:pPr>
        <w:jc w:val="both"/>
        <w:ind w:left="1620" w:right="739"/>
        <w:spacing w:after="0" w:line="231" w:lineRule="auto"/>
        <w:rPr>
          <w:sz w:val="20"/>
          <w:szCs w:val="20"/>
          <w:color w:val="auto"/>
        </w:rPr>
      </w:pPr>
      <w:r>
        <w:rPr>
          <w:rFonts w:ascii="Arial" w:cs="Arial" w:eastAsia="Arial" w:hAnsi="Arial"/>
          <w:sz w:val="18"/>
          <w:szCs w:val="18"/>
          <w:b w:val="1"/>
          <w:bCs w:val="1"/>
          <w:color w:val="auto"/>
        </w:rPr>
        <w:t>AS APPROVED BY THE BOARD OF DIRECTORS OF THE COMPANY ON THE 14</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OF DECEMBER,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834505" cy="8013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4505" cy="80137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834505" cy="8545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4505" cy="854583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834505" cy="85801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4505" cy="85801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834505" cy="6882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6882130"/>
                    </a:xfrm>
                    <a:prstGeom prst="rect">
                      <a:avLst/>
                    </a:prstGeom>
                    <a:noFill/>
                  </pic:spPr>
                </pic:pic>
              </a:graphicData>
            </a:graphic>
          </wp:anchor>
        </w:drawing>
      </w:r>
    </w:p>
    <w:sectPr>
      <w:pgSz w:w="11900" w:h="16838" w:orient="portrait"/>
      <w:cols w:equalWidth="0" w:num="1">
        <w:col w:w="10219"/>
      </w:cols>
      <w:pgMar w:left="24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2."/>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7"/>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2"/>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2"/>
    </w:lvl>
  </w:abstractNum>
  <w:abstractNum w:abstractNumId="30">
    <w:nsid w:val="77465F01"/>
    <w:multiLevelType w:val="hybridMultilevel"/>
    <w:lvl w:ilvl="0">
      <w:lvlJc w:val="left"/>
      <w:lvlText w:val="%1."/>
      <w:numFmt w:val="decimal"/>
      <w:start w:val="3"/>
    </w:lvl>
    <w:lvl w:ilvl="1">
      <w:lvlJc w:val="left"/>
      <w:lvlText w:val="(%2)"/>
      <w:numFmt w:val="lowerLetter"/>
      <w:start w:val="1"/>
    </w:lvl>
  </w:abstractNum>
  <w:abstractNum w:abstractNumId="31">
    <w:nsid w:val="7724C67E"/>
    <w:multiLevelType w:val="hybridMultilevel"/>
    <w:lvl w:ilvl="0">
      <w:lvlJc w:val="left"/>
      <w:lvlText w:val="(%1)"/>
      <w:numFmt w:val="lowerLetter"/>
      <w:start w:val="13"/>
    </w:lvl>
  </w:abstractNum>
  <w:abstractNum w:abstractNumId="32">
    <w:nsid w:val="5C482A97"/>
    <w:multiLevelType w:val="hybridMultilevel"/>
    <w:lvl w:ilvl="0">
      <w:lvlJc w:val="left"/>
      <w:lvlText w:val="%1."/>
      <w:numFmt w:val="decimal"/>
      <w:start w:val="4"/>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decimal"/>
      <w:start w:val="6"/>
    </w:lvl>
  </w:abstractNum>
  <w:abstractNum w:abstractNumId="36">
    <w:nsid w:val="2D517796"/>
    <w:multiLevelType w:val="hybridMultilevel"/>
    <w:lvl w:ilvl="0">
      <w:lvlJc w:val="left"/>
      <w:lvlText w:val="%1."/>
      <w:numFmt w:val="decimal"/>
      <w:start w:val="7"/>
    </w:lvl>
  </w:abstractNum>
  <w:abstractNum w:abstractNumId="37">
    <w:nsid w:val="580BD78F"/>
    <w:multiLevelType w:val="hybridMultilevel"/>
    <w:lvl w:ilvl="0">
      <w:lvlJc w:val="left"/>
      <w:lvlText w:val="%1."/>
      <w:numFmt w:val="decimal"/>
      <w:start w:val="8"/>
    </w:lvl>
  </w:abstractNum>
  <w:abstractNum w:abstractNumId="38">
    <w:nsid w:val="153EA438"/>
    <w:multiLevelType w:val="hybridMultilevel"/>
    <w:lvl w:ilvl="0">
      <w:lvlJc w:val="left"/>
      <w:lvlText w:val="%1."/>
      <w:numFmt w:val="decimal"/>
      <w:start w:val="9"/>
    </w:lvl>
  </w:abstractNum>
  <w:abstractNum w:abstractNumId="39">
    <w:nsid w:val="3855585C"/>
    <w:multiLevelType w:val="hybridMultilevel"/>
    <w:lvl w:ilvl="0">
      <w:lvlJc w:val="left"/>
      <w:lvlText w:val="%1."/>
      <w:numFmt w:val="decimal"/>
      <w:start w:val="10"/>
    </w:lvl>
  </w:abstractNum>
  <w:abstractNum w:abstractNumId="40">
    <w:nsid w:val="70A64E2A"/>
    <w:multiLevelType w:val="hybridMultilevel"/>
    <w:lvl w:ilvl="0">
      <w:lvlJc w:val="left"/>
      <w:lvlText w:val="%1."/>
      <w:numFmt w:val="decimal"/>
      <w:start w:val="11"/>
    </w:lvl>
  </w:abstractNum>
  <w:abstractNum w:abstractNumId="41">
    <w:nsid w:val="6A2342EC"/>
    <w:multiLevelType w:val="hybridMultilevel"/>
    <w:lvl w:ilvl="0">
      <w:lvlJc w:val="left"/>
      <w:lvlText w:val="%1."/>
      <w:numFmt w:val="decimal"/>
      <w:start w:val="12"/>
    </w:lvl>
  </w:abstractNum>
  <w:abstractNum w:abstractNumId="42">
    <w:nsid w:val="2A487CB0"/>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2019-12-06T04:52:59Z</dcterms:created>
  <dcterms:modified xsi:type="dcterms:W3CDTF">2019-12-06T04:52:59Z</dcterms:modified>
</cp:coreProperties>
</file>