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31"/>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1"/>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31"/>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31"/>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7" w:lineRule="exact"/>
        <w:rPr>
          <w:sz w:val="24"/>
          <w:szCs w:val="24"/>
          <w:color w:val="auto"/>
        </w:rPr>
      </w:pPr>
    </w:p>
    <w:p>
      <w:pPr>
        <w:jc w:val="center"/>
        <w:ind w:right="-31"/>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32" w:hanging="332"/>
        <w:spacing w:after="0"/>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32" w:hanging="332"/>
        <w:spacing w:after="0"/>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332" w:hanging="332"/>
        <w:spacing w:after="0"/>
        <w:tabs>
          <w:tab w:leader="none" w:pos="33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332" w:hanging="332"/>
        <w:spacing w:after="0"/>
        <w:tabs>
          <w:tab w:leader="none" w:pos="33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8" w:lineRule="exact"/>
        <w:rPr>
          <w:sz w:val="24"/>
          <w:szCs w:val="24"/>
          <w:color w:val="auto"/>
        </w:rPr>
      </w:pPr>
    </w:p>
    <w:p>
      <w:pPr>
        <w:jc w:val="center"/>
        <w:ind w:right="-31"/>
        <w:spacing w:after="0"/>
        <w:rPr>
          <w:sz w:val="20"/>
          <w:szCs w:val="20"/>
          <w:color w:val="auto"/>
        </w:rPr>
      </w:pPr>
      <w:r>
        <w:rPr>
          <w:rFonts w:ascii="Arial" w:cs="Arial" w:eastAsia="Arial" w:hAnsi="Arial"/>
          <w:sz w:val="32"/>
          <w:szCs w:val="32"/>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8" w:lineRule="exact"/>
        <w:rPr>
          <w:sz w:val="24"/>
          <w:szCs w:val="24"/>
          <w:color w:val="auto"/>
        </w:rPr>
      </w:pPr>
    </w:p>
    <w:p>
      <w:pPr>
        <w:jc w:val="center"/>
        <w:ind w:right="-31"/>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4"/>
          <w:szCs w:val="24"/>
          <w:color w:val="auto"/>
        </w:rPr>
      </w:pPr>
    </w:p>
    <w:p>
      <w:pPr>
        <w:ind w:left="2852"/>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52" w:hanging="352"/>
        <w:spacing w:after="0"/>
        <w:tabs>
          <w:tab w:leader="none" w:pos="3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52" w:hanging="352"/>
        <w:spacing w:after="0"/>
        <w:tabs>
          <w:tab w:leader="none" w:pos="3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 w:lineRule="exact"/>
        <w:rPr>
          <w:rFonts w:ascii="MS PGothic" w:cs="MS PGothic" w:eastAsia="MS PGothic" w:hAnsi="MS PGothic"/>
          <w:sz w:val="18"/>
          <w:szCs w:val="18"/>
          <w:color w:val="auto"/>
        </w:rPr>
      </w:pPr>
    </w:p>
    <w:p>
      <w:pPr>
        <w:ind w:left="712" w:hanging="388"/>
        <w:spacing w:after="0"/>
        <w:tabs>
          <w:tab w:leader="none" w:pos="712"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9" w:lineRule="exact"/>
        <w:rPr>
          <w:rFonts w:ascii="Arial" w:cs="Arial" w:eastAsia="Arial" w:hAnsi="Arial"/>
          <w:sz w:val="18"/>
          <w:szCs w:val="18"/>
          <w:color w:val="auto"/>
        </w:rPr>
      </w:pPr>
    </w:p>
    <w:p>
      <w:pPr>
        <w:ind w:left="712" w:hanging="388"/>
        <w:spacing w:after="0"/>
        <w:tabs>
          <w:tab w:leader="none" w:pos="71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712" w:hanging="388"/>
        <w:spacing w:after="0" w:line="277" w:lineRule="auto"/>
        <w:tabs>
          <w:tab w:leader="none" w:pos="71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712" w:hanging="388"/>
        <w:spacing w:after="0"/>
        <w:tabs>
          <w:tab w:leader="none" w:pos="71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712" w:hanging="388"/>
        <w:spacing w:after="0"/>
        <w:tabs>
          <w:tab w:leader="none" w:pos="71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352" w:hanging="352"/>
        <w:spacing w:after="0"/>
        <w:tabs>
          <w:tab w:leader="none" w:pos="3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52" w:right="340" w:hanging="352"/>
        <w:spacing w:after="0" w:line="274" w:lineRule="auto"/>
        <w:tabs>
          <w:tab w:leader="none" w:pos="352"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652" w:hanging="328"/>
        <w:spacing w:after="0"/>
        <w:tabs>
          <w:tab w:leader="none" w:pos="65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0" w:lineRule="exact"/>
        <w:rPr>
          <w:rFonts w:ascii="Arial" w:cs="Arial" w:eastAsia="Arial" w:hAnsi="Arial"/>
          <w:sz w:val="18"/>
          <w:szCs w:val="18"/>
          <w:color w:val="auto"/>
        </w:rPr>
      </w:pPr>
    </w:p>
    <w:p>
      <w:pPr>
        <w:ind w:left="652" w:hanging="328"/>
        <w:spacing w:after="0"/>
        <w:tabs>
          <w:tab w:leader="none" w:pos="65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652" w:hanging="328"/>
        <w:spacing w:after="0"/>
        <w:tabs>
          <w:tab w:leader="none" w:pos="65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652" w:hanging="328"/>
        <w:spacing w:after="0"/>
        <w:tabs>
          <w:tab w:leader="none" w:pos="65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411480</wp:posOffset>
            </wp:positionH>
            <wp:positionV relativeFrom="paragraph">
              <wp:posOffset>-1501775</wp:posOffset>
            </wp:positionV>
            <wp:extent cx="672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-1776095</wp:posOffset>
            </wp:positionV>
            <wp:extent cx="672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-2050415</wp:posOffset>
            </wp:positionV>
            <wp:extent cx="6720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-2461895</wp:posOffset>
            </wp:positionV>
            <wp:extent cx="6720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-2736215</wp:posOffset>
            </wp:positionV>
            <wp:extent cx="6720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143510</wp:posOffset>
            </wp:positionV>
            <wp:extent cx="6720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-130175</wp:posOffset>
            </wp:positionV>
            <wp:extent cx="6720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-404495</wp:posOffset>
            </wp:positionV>
            <wp:extent cx="6720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-678815</wp:posOffset>
            </wp:positionV>
            <wp:extent cx="6720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340360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366395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983615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14"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37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37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54"/>
          <w:szCs w:val="54"/>
          <w:b w:val="1"/>
          <w:bCs w:val="1"/>
          <w:color w:val="143964"/>
        </w:rPr>
        <w:t>Letter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-348615</wp:posOffset>
            </wp:positionV>
            <wp:extent cx="1457325" cy="1448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732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58585A"/>
        </w:rPr>
        <w:t>March 30,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58585A"/>
        </w:rPr>
        <w:t>Dear Fellow Shareholders:</w:t>
      </w:r>
    </w:p>
    <w:p>
      <w:pPr>
        <w:spacing w:after="0" w:line="19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58585A"/>
        </w:rPr>
        <w:t>We will hold the 2021 Annual Meeting of Shareholders (the “2021 Annual Meeting”) of United Community Banks, Inc. at 3:00 P.M. Eastern time on Wednesday, May 12, 2021. However, due to the continuing public health impact of the coronavirus (COVID-19) pandemic and to support the health and well-being of our employees and shareholders, the 2021 Annual Meeting will be held in a virtual meeting format only. You will not be able to attend the 2021 Annual Meeting physically.</w:t>
      </w:r>
    </w:p>
    <w:p>
      <w:pPr>
        <w:spacing w:after="0" w:line="19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58585A"/>
        </w:rPr>
        <w:t>As in prior years, we have again elected to provide access to our proxy materials over the Internet under the Securities and Exchange Commission’s “notice and access” rules. The accompanying Notice of 2021 Annual Meeting of Shareholders and Proxy Statement describes the matters to be acted upon and is available at www.proxyvote.com and at our corporate website www.ucbi.com. The Annual Report to Shareholders and our Annual Report on Form 10-K for the year ended December 31, 2020 are also available at those websites. We believe that providing our proxy materials over the Internet increases the ability of our shareholders to obtain the information they need, while reducing the environmental impact of the 2021 Annual Meeting and our costs associated with the physical printing and mailing of the related proxy materials.</w:t>
      </w:r>
    </w:p>
    <w:p>
      <w:pPr>
        <w:spacing w:after="0" w:line="1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58585A"/>
        </w:rPr>
        <w:t>It is important that your shares be represented at the 2021 Annual Meeting. To be admitted to the 2021 Annual Meeting at www. virtualshareholdermeeting.com/UCBI2021, you must enter the control number found on your proxy card, voting instruction form or notice you previously received. You may vote during the 2021 Annual Meeting by following the instructions available on the meeting website during the meeting. We hope you will participate in the 2021 Annual Meeting. However, even if you anticipate participating in the virtual meeting, we urge you to please vote your proxy either by mail, telephone or over the Internet in advance of the 2021 Annual Meeting to ensure that your shares will be represented.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58585A"/>
        </w:rPr>
        <w:t>I look forward to updating you on developments in our business at the 2021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58585A"/>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457325" cy="591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732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58585A"/>
        </w:rPr>
        <w:t>H. LYNN HARTON</w:t>
      </w:r>
    </w:p>
    <w:p>
      <w:pPr>
        <w:spacing w:after="0"/>
        <w:rPr>
          <w:sz w:val="20"/>
          <w:szCs w:val="20"/>
          <w:color w:val="auto"/>
        </w:rPr>
      </w:pPr>
      <w:r>
        <w:rPr>
          <w:rFonts w:ascii="Arial" w:cs="Arial" w:eastAsia="Arial" w:hAnsi="Arial"/>
          <w:sz w:val="18"/>
          <w:szCs w:val="18"/>
          <w:color w:val="58585A"/>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7" w:lineRule="exact"/>
        <w:rPr>
          <w:sz w:val="20"/>
          <w:szCs w:val="20"/>
          <w:color w:val="auto"/>
        </w:rPr>
      </w:pPr>
    </w:p>
    <w:p>
      <w:pPr>
        <w:spacing w:after="0"/>
        <w:tabs>
          <w:tab w:leader="none" w:pos="5700" w:val="left"/>
          <w:tab w:leader="none" w:pos="7160" w:val="left"/>
        </w:tabs>
        <w:rPr>
          <w:sz w:val="20"/>
          <w:szCs w:val="20"/>
          <w:color w:val="auto"/>
        </w:rPr>
      </w:pPr>
      <w:r>
        <w:rPr>
          <w:rFonts w:ascii="Arial" w:cs="Arial" w:eastAsia="Arial" w:hAnsi="Arial"/>
          <w:sz w:val="22"/>
          <w:szCs w:val="22"/>
          <w:color w:val="58585A"/>
        </w:rPr>
        <w:t>2 WEST WASHINGTON STREET, SUITE 700</w:t>
      </w:r>
      <w:r>
        <w:rPr>
          <w:sz w:val="20"/>
          <w:szCs w:val="20"/>
          <w:color w:val="auto"/>
        </w:rPr>
        <w:tab/>
      </w:r>
      <w:r>
        <w:rPr>
          <w:rFonts w:ascii="Arial" w:cs="Arial" w:eastAsia="Arial" w:hAnsi="Arial"/>
          <w:sz w:val="22"/>
          <w:szCs w:val="22"/>
          <w:color w:val="58585A"/>
        </w:rPr>
        <w:t>|</w:t>
      </w:r>
      <w:r>
        <w:rPr>
          <w:sz w:val="20"/>
          <w:szCs w:val="20"/>
          <w:color w:val="auto"/>
        </w:rPr>
        <w:tab/>
      </w:r>
      <w:r>
        <w:rPr>
          <w:rFonts w:ascii="Arial" w:cs="Arial" w:eastAsia="Arial" w:hAnsi="Arial"/>
          <w:sz w:val="21"/>
          <w:szCs w:val="21"/>
          <w:color w:val="58585A"/>
        </w:rPr>
        <w:t>GREENVILLE, SOUTH CAROLINA 29601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 w:name="page4"/>
    <w:bookmarkEnd w:id="3"/>
    <w:p>
      <w:pPr>
        <w:ind w:right="2220"/>
        <w:spacing w:after="0" w:line="272" w:lineRule="auto"/>
        <w:rPr>
          <w:sz w:val="20"/>
          <w:szCs w:val="20"/>
          <w:color w:val="auto"/>
        </w:rPr>
      </w:pPr>
      <w:r>
        <w:rPr>
          <w:rFonts w:ascii="Arial" w:cs="Arial" w:eastAsia="Arial" w:hAnsi="Arial"/>
          <w:sz w:val="54"/>
          <w:szCs w:val="54"/>
          <w:b w:val="1"/>
          <w:bCs w:val="1"/>
          <w:color w:val="143964"/>
        </w:rPr>
        <w:t>Notice of Virtual Annual Meeting of Shareholders</w:t>
      </w:r>
    </w:p>
    <w:p>
      <w:pPr>
        <w:sectPr>
          <w:pgSz w:w="11900" w:h="16838" w:orient="portrait"/>
          <w:cols w:equalWidth="0" w:num="1">
            <w:col w:w="11180"/>
          </w:cols>
          <w:pgMar w:left="320" w:top="285" w:right="39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1278A9"/>
        </w:rPr>
        <w:t>Date and Time: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58585A"/>
        </w:rPr>
        <w:t>May 12, 2021</w:t>
      </w:r>
    </w:p>
    <w:p>
      <w:pPr>
        <w:spacing w:after="0"/>
        <w:rPr>
          <w:sz w:val="20"/>
          <w:szCs w:val="20"/>
          <w:color w:val="auto"/>
        </w:rPr>
      </w:pPr>
      <w:r>
        <w:rPr>
          <w:rFonts w:ascii="Arial" w:cs="Arial" w:eastAsia="Arial" w:hAnsi="Arial"/>
          <w:sz w:val="17"/>
          <w:szCs w:val="17"/>
          <w:color w:val="58585A"/>
        </w:rPr>
        <w:t>3:00 P.M. Eastern Time</w:t>
      </w:r>
    </w:p>
    <w:p>
      <w:pPr>
        <w:spacing w:after="0" w:line="188" w:lineRule="exact"/>
        <w:rPr>
          <w:sz w:val="20"/>
          <w:szCs w:val="20"/>
          <w:color w:val="auto"/>
        </w:rPr>
      </w:pPr>
    </w:p>
    <w:p>
      <w:pPr>
        <w:sectPr>
          <w:pgSz w:w="11900" w:h="16838" w:orient="portrait"/>
          <w:cols w:equalWidth="0" w:num="2">
            <w:col w:w="2100" w:space="720"/>
            <w:col w:w="8360"/>
          </w:cols>
          <w:pgMar w:left="320" w:top="285"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1278A9"/>
        </w:rPr>
        <w:t>Place: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58585A"/>
        </w:rPr>
        <w:t>There will be no physical location for shareholders to attend. Shareholders may only participate online by logging in virtually at www.virtualshareholdermeeting.com/ucbi2021.</w:t>
      </w:r>
    </w:p>
    <w:p>
      <w:pPr>
        <w:spacing w:after="0" w:line="161" w:lineRule="exact"/>
        <w:rPr>
          <w:sz w:val="20"/>
          <w:szCs w:val="20"/>
          <w:color w:val="auto"/>
        </w:rPr>
      </w:pPr>
    </w:p>
    <w:p>
      <w:pPr>
        <w:sectPr>
          <w:pgSz w:w="11900" w:h="16838" w:orient="portrait"/>
          <w:cols w:equalWidth="0" w:num="2">
            <w:col w:w="2100" w:space="720"/>
            <w:col w:w="8360"/>
          </w:cols>
          <w:pgMar w:left="320" w:top="285" w:right="399" w:bottom="1440" w:gutter="0" w:footer="0" w:header="0"/>
          <w:type w:val="continuous"/>
        </w:sectPr>
      </w:pPr>
    </w:p>
    <w:p>
      <w:pPr>
        <w:spacing w:after="0"/>
        <w:rPr>
          <w:sz w:val="20"/>
          <w:szCs w:val="20"/>
          <w:color w:val="auto"/>
        </w:rPr>
      </w:pPr>
      <w:r>
        <w:rPr>
          <w:rFonts w:ascii="Arial" w:cs="Arial" w:eastAsia="Arial" w:hAnsi="Arial"/>
          <w:sz w:val="17"/>
          <w:szCs w:val="17"/>
          <w:b w:val="1"/>
          <w:bCs w:val="1"/>
          <w:color w:val="1278A9"/>
        </w:rPr>
        <w:t>Items of Business: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58585A"/>
        </w:rPr>
        <w:t>1. To elect the eleven nominees listed in the accompanying Proxy Statement to our Board of Directors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58585A"/>
        </w:rPr>
        <w:t>2. To approve an amendment to our Restated Articles of Incorporation, as amended, to increase the</w:t>
      </w:r>
    </w:p>
    <w:p>
      <w:pPr>
        <w:ind w:left="180"/>
        <w:spacing w:after="0" w:line="234" w:lineRule="auto"/>
        <w:rPr>
          <w:sz w:val="20"/>
          <w:szCs w:val="20"/>
          <w:color w:val="auto"/>
        </w:rPr>
      </w:pPr>
      <w:r>
        <w:rPr>
          <w:rFonts w:ascii="Arial" w:cs="Arial" w:eastAsia="Arial" w:hAnsi="Arial"/>
          <w:sz w:val="18"/>
          <w:szCs w:val="18"/>
          <w:color w:val="58585A"/>
        </w:rPr>
        <w:t>number of shares of our voting common stock, par value $1.00, available for issuance from</w:t>
      </w:r>
    </w:p>
    <w:p>
      <w:pPr>
        <w:ind w:left="180"/>
        <w:spacing w:after="0" w:line="235" w:lineRule="auto"/>
        <w:rPr>
          <w:sz w:val="20"/>
          <w:szCs w:val="20"/>
          <w:color w:val="auto"/>
        </w:rPr>
      </w:pPr>
      <w:r>
        <w:rPr>
          <w:rFonts w:ascii="Arial" w:cs="Arial" w:eastAsia="Arial" w:hAnsi="Arial"/>
          <w:sz w:val="18"/>
          <w:szCs w:val="18"/>
          <w:color w:val="58585A"/>
        </w:rPr>
        <w:t>150,000,000 to 200,000,000</w:t>
      </w:r>
    </w:p>
    <w:p>
      <w:pPr>
        <w:spacing w:after="0" w:line="235" w:lineRule="auto"/>
        <w:rPr>
          <w:sz w:val="20"/>
          <w:szCs w:val="20"/>
          <w:color w:val="auto"/>
        </w:rPr>
      </w:pPr>
      <w:r>
        <w:rPr>
          <w:rFonts w:ascii="Arial" w:cs="Arial" w:eastAsia="Arial" w:hAnsi="Arial"/>
          <w:sz w:val="18"/>
          <w:szCs w:val="18"/>
          <w:color w:val="58585A"/>
        </w:rPr>
        <w:t>3. To approve, on an advisory basis, the compensation paid to our Named Executive Officers</w:t>
      </w:r>
    </w:p>
    <w:p>
      <w:pPr>
        <w:spacing w:after="0" w:line="235" w:lineRule="auto"/>
        <w:rPr>
          <w:sz w:val="20"/>
          <w:szCs w:val="20"/>
          <w:color w:val="auto"/>
        </w:rPr>
      </w:pPr>
      <w:r>
        <w:rPr>
          <w:rFonts w:ascii="Arial" w:cs="Arial" w:eastAsia="Arial" w:hAnsi="Arial"/>
          <w:sz w:val="18"/>
          <w:szCs w:val="18"/>
          <w:color w:val="58585A"/>
        </w:rPr>
        <w:t>4. To ratify the appointment of PricewaterhouseCoopers LLP as our independent registered public</w:t>
      </w:r>
    </w:p>
    <w:p>
      <w:pPr>
        <w:ind w:left="180"/>
        <w:spacing w:after="0" w:line="235" w:lineRule="auto"/>
        <w:rPr>
          <w:sz w:val="20"/>
          <w:szCs w:val="20"/>
          <w:color w:val="auto"/>
        </w:rPr>
      </w:pPr>
      <w:r>
        <w:rPr>
          <w:rFonts w:ascii="Arial" w:cs="Arial" w:eastAsia="Arial" w:hAnsi="Arial"/>
          <w:sz w:val="18"/>
          <w:szCs w:val="18"/>
          <w:color w:val="58585A"/>
        </w:rPr>
        <w:t>accountants for the fiscal year ending December 31, 2021</w:t>
      </w:r>
    </w:p>
    <w:p>
      <w:pPr>
        <w:spacing w:after="0" w:line="234" w:lineRule="auto"/>
        <w:rPr>
          <w:sz w:val="20"/>
          <w:szCs w:val="20"/>
          <w:color w:val="auto"/>
        </w:rPr>
      </w:pPr>
      <w:r>
        <w:rPr>
          <w:rFonts w:ascii="Arial" w:cs="Arial" w:eastAsia="Arial" w:hAnsi="Arial"/>
          <w:sz w:val="18"/>
          <w:szCs w:val="18"/>
          <w:color w:val="58585A"/>
        </w:rPr>
        <w:t>5. To transact such other business as may properly be presented at the 2021 Annual Meeting of</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58585A"/>
        </w:rPr>
        <w:t>Shareholders or any adjournment thereof</w:t>
      </w:r>
    </w:p>
    <w:p>
      <w:pPr>
        <w:spacing w:after="0" w:line="176" w:lineRule="exact"/>
        <w:rPr>
          <w:sz w:val="20"/>
          <w:szCs w:val="20"/>
          <w:color w:val="auto"/>
        </w:rPr>
      </w:pPr>
    </w:p>
    <w:p>
      <w:pPr>
        <w:sectPr>
          <w:pgSz w:w="11900" w:h="16838" w:orient="portrait"/>
          <w:cols w:equalWidth="0" w:num="2">
            <w:col w:w="2140" w:space="720"/>
            <w:col w:w="8320"/>
          </w:cols>
          <w:pgMar w:left="320" w:top="285" w:right="399" w:bottom="1440" w:gutter="0" w:footer="0" w:header="0"/>
          <w:type w:val="continuous"/>
        </w:sectPr>
      </w:pPr>
    </w:p>
    <w:p>
      <w:pPr>
        <w:spacing w:after="0"/>
        <w:rPr>
          <w:sz w:val="20"/>
          <w:szCs w:val="20"/>
          <w:color w:val="auto"/>
        </w:rPr>
      </w:pPr>
      <w:r>
        <w:rPr>
          <w:rFonts w:ascii="Arial" w:cs="Arial" w:eastAsia="Arial" w:hAnsi="Arial"/>
          <w:sz w:val="17"/>
          <w:szCs w:val="17"/>
          <w:b w:val="1"/>
          <w:bCs w:val="1"/>
          <w:color w:val="1278A9"/>
        </w:rPr>
        <w:t>Record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58585A"/>
        </w:rPr>
        <w:t>You may vote at the meeting if you were a shareholder of record at the close of business on March 15, 2021.</w:t>
      </w:r>
    </w:p>
    <w:p>
      <w:pPr>
        <w:spacing w:after="0" w:line="161" w:lineRule="exact"/>
        <w:rPr>
          <w:sz w:val="20"/>
          <w:szCs w:val="20"/>
          <w:color w:val="auto"/>
        </w:rPr>
      </w:pPr>
    </w:p>
    <w:p>
      <w:pPr>
        <w:sectPr>
          <w:pgSz w:w="11900" w:h="16838" w:orient="portrait"/>
          <w:cols w:equalWidth="0" w:num="2">
            <w:col w:w="2100" w:space="720"/>
            <w:col w:w="8360"/>
          </w:cols>
          <w:pgMar w:left="320" w:top="285" w:right="399" w:bottom="1440" w:gutter="0" w:footer="0" w:header="0"/>
          <w:type w:val="continuous"/>
        </w:sectPr>
      </w:pPr>
    </w:p>
    <w:p>
      <w:pPr>
        <w:spacing w:after="0"/>
        <w:rPr>
          <w:sz w:val="20"/>
          <w:szCs w:val="20"/>
          <w:color w:val="auto"/>
        </w:rPr>
      </w:pPr>
      <w:r>
        <w:rPr>
          <w:rFonts w:ascii="Arial" w:cs="Arial" w:eastAsia="Arial" w:hAnsi="Arial"/>
          <w:sz w:val="17"/>
          <w:szCs w:val="17"/>
          <w:b w:val="1"/>
          <w:bCs w:val="1"/>
          <w:color w:val="1278A9"/>
        </w:rPr>
        <w:t>Voting by Proxy: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58585A"/>
        </w:rPr>
        <w:t>You may vote your shares by Internet or telephone as directed in the proxy materials. If you received a printed copy of the proxy materials, you may also complete, sign and return the enclosed proxy card or voting instruction form by mail. Voting in any of these ways will not prevent you from attending or voting your shares at the meeting. We encourage you to vote by Internet or telephone to reduce mailing and handling expenses.</w:t>
      </w:r>
    </w:p>
    <w:p>
      <w:pPr>
        <w:spacing w:after="0" w:line="167" w:lineRule="exact"/>
        <w:rPr>
          <w:sz w:val="20"/>
          <w:szCs w:val="20"/>
          <w:color w:val="auto"/>
        </w:rPr>
      </w:pPr>
    </w:p>
    <w:p>
      <w:pPr>
        <w:sectPr>
          <w:pgSz w:w="11900" w:h="16838" w:orient="portrait"/>
          <w:cols w:equalWidth="0" w:num="2">
            <w:col w:w="2100" w:space="720"/>
            <w:col w:w="8360"/>
          </w:cols>
          <w:pgMar w:left="320" w:top="285" w:right="399" w:bottom="1440" w:gutter="0" w:footer="0" w:header="0"/>
          <w:type w:val="continuous"/>
        </w:sectPr>
      </w:pPr>
    </w:p>
    <w:p>
      <w:pPr>
        <w:spacing w:after="0" w:line="271" w:lineRule="auto"/>
        <w:rPr>
          <w:sz w:val="20"/>
          <w:szCs w:val="20"/>
          <w:color w:val="auto"/>
        </w:rPr>
      </w:pPr>
      <w:r>
        <w:rPr>
          <w:rFonts w:ascii="Arial" w:cs="Arial" w:eastAsia="Arial" w:hAnsi="Arial"/>
          <w:sz w:val="18"/>
          <w:szCs w:val="18"/>
          <w:b w:val="1"/>
          <w:bCs w:val="1"/>
          <w:color w:val="1278A9"/>
        </w:rPr>
        <w:t>Internet Availability of Proxy Materials: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58585A"/>
        </w:rPr>
        <w:t xml:space="preserve">Important Notice Regarding the Availability of Proxy Materials for the Shareholder Meeting to be Held on May 12, 2021: </w:t>
      </w:r>
      <w:r>
        <w:rPr>
          <w:rFonts w:ascii="Arial" w:cs="Arial" w:eastAsia="Arial" w:hAnsi="Arial"/>
          <w:sz w:val="18"/>
          <w:szCs w:val="18"/>
          <w:color w:val="58585A"/>
        </w:rPr>
        <w:t>The solicitation of the enclosed proxy is made on behalf of the Board of Directors</w:t>
      </w:r>
      <w:r>
        <w:rPr>
          <w:rFonts w:ascii="Arial" w:cs="Arial" w:eastAsia="Arial" w:hAnsi="Arial"/>
          <w:sz w:val="18"/>
          <w:szCs w:val="18"/>
          <w:b w:val="1"/>
          <w:bCs w:val="1"/>
          <w:i w:val="1"/>
          <w:iCs w:val="1"/>
          <w:color w:val="58585A"/>
        </w:rPr>
        <w:t xml:space="preserve"> </w:t>
      </w:r>
      <w:r>
        <w:rPr>
          <w:rFonts w:ascii="Arial" w:cs="Arial" w:eastAsia="Arial" w:hAnsi="Arial"/>
          <w:sz w:val="18"/>
          <w:szCs w:val="18"/>
          <w:color w:val="58585A"/>
        </w:rPr>
        <w:t>for use at the Shareholder Meeting to be held on May 12, 2021. It is expected that this Proxy Statement and related materials will first be provided to shareholders on or about March 30, 2021. A copy of this Notice of Virtual Annual Meeting of Shareholders of United Community Banks, Inc. and Proxy Statement is available at: www.virtualshareholdermeeting.com/ucbi2021. Also available at this website is our 2020 Annual Report and our Annual Report on Form 10-K for the year ended December 31, 2020.</w:t>
      </w:r>
    </w:p>
    <w:p>
      <w:pPr>
        <w:spacing w:after="0" w:line="193" w:lineRule="exact"/>
        <w:rPr>
          <w:sz w:val="20"/>
          <w:szCs w:val="20"/>
          <w:color w:val="auto"/>
        </w:rPr>
      </w:pPr>
    </w:p>
    <w:p>
      <w:pPr>
        <w:sectPr>
          <w:pgSz w:w="11900" w:h="16838" w:orient="portrait"/>
          <w:cols w:equalWidth="0" w:num="2">
            <w:col w:w="2440" w:space="380"/>
            <w:col w:w="8360"/>
          </w:cols>
          <w:pgMar w:left="320" w:top="285" w:right="399" w:bottom="1440" w:gutter="0" w:footer="0" w:header="0"/>
          <w:type w:val="continuous"/>
        </w:sectPr>
      </w:pPr>
    </w:p>
    <w:p>
      <w:pPr>
        <w:spacing w:after="0"/>
        <w:rPr>
          <w:sz w:val="20"/>
          <w:szCs w:val="20"/>
          <w:color w:val="auto"/>
        </w:rPr>
      </w:pPr>
      <w:r>
        <w:rPr>
          <w:rFonts w:ascii="Arial" w:cs="Arial" w:eastAsia="Arial" w:hAnsi="Arial"/>
          <w:sz w:val="18"/>
          <w:szCs w:val="18"/>
          <w:color w:val="58585A"/>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58585A"/>
        </w:rPr>
        <w:t>Melinda Davis Lux</w:t>
      </w:r>
    </w:p>
    <w:p>
      <w:pPr>
        <w:spacing w:after="0"/>
        <w:rPr>
          <w:sz w:val="20"/>
          <w:szCs w:val="20"/>
          <w:color w:val="auto"/>
        </w:rPr>
      </w:pPr>
      <w:r>
        <w:rPr>
          <w:rFonts w:ascii="Arial" w:cs="Arial" w:eastAsia="Arial" w:hAnsi="Arial"/>
          <w:sz w:val="18"/>
          <w:szCs w:val="18"/>
          <w:color w:val="58585A"/>
        </w:rPr>
        <w:t>General Counsel and 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58585A"/>
        </w:rPr>
        <w:t>Greenville, South Carolina</w:t>
      </w:r>
    </w:p>
    <w:p>
      <w:pPr>
        <w:spacing w:after="0"/>
        <w:rPr>
          <w:sz w:val="20"/>
          <w:szCs w:val="20"/>
          <w:color w:val="auto"/>
        </w:rPr>
      </w:pPr>
      <w:r>
        <w:rPr>
          <w:rFonts w:ascii="Arial" w:cs="Arial" w:eastAsia="Arial" w:hAnsi="Arial"/>
          <w:sz w:val="18"/>
          <w:szCs w:val="18"/>
          <w:color w:val="58585A"/>
        </w:rPr>
        <w:t>March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85" w:right="3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54"/>
          <w:szCs w:val="54"/>
          <w:b w:val="1"/>
          <w:bCs w:val="1"/>
          <w:color w:val="143964"/>
        </w:rPr>
        <w:t>Proxy Statement</w:t>
      </w:r>
    </w:p>
    <w:p>
      <w:pPr>
        <w:spacing w:after="0" w:line="56" w:lineRule="exact"/>
        <w:rPr>
          <w:sz w:val="20"/>
          <w:szCs w:val="20"/>
          <w:color w:val="auto"/>
        </w:rPr>
      </w:pPr>
    </w:p>
    <w:p>
      <w:pPr>
        <w:spacing w:after="0"/>
        <w:rPr>
          <w:sz w:val="20"/>
          <w:szCs w:val="20"/>
          <w:color w:val="auto"/>
        </w:rPr>
      </w:pPr>
      <w:r>
        <w:rPr>
          <w:rFonts w:ascii="Arial" w:cs="Arial" w:eastAsia="Arial" w:hAnsi="Arial"/>
          <w:sz w:val="36"/>
          <w:szCs w:val="36"/>
          <w:b w:val="1"/>
          <w:bCs w:val="1"/>
          <w:color w:val="143964"/>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gridSpan w:val="8"/>
          </w:tcPr>
          <w:p>
            <w:pPr>
              <w:spacing w:after="0"/>
              <w:rPr>
                <w:rFonts w:ascii="Arial" w:cs="Arial" w:eastAsia="Arial" w:hAnsi="Arial"/>
                <w:sz w:val="18"/>
                <w:szCs w:val="18"/>
                <w:b w:val="1"/>
                <w:bCs w:val="1"/>
                <w:color w:val="1278A9"/>
              </w:rPr>
            </w:pPr>
            <w:hyperlink w:anchor="page6">
              <w:r>
                <w:rPr>
                  <w:rFonts w:ascii="Arial" w:cs="Arial" w:eastAsia="Arial" w:hAnsi="Arial"/>
                  <w:sz w:val="18"/>
                  <w:szCs w:val="18"/>
                  <w:b w:val="1"/>
                  <w:bCs w:val="1"/>
                  <w:color w:val="1278A9"/>
                </w:rPr>
                <w:t>Summary</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1278A9"/>
              </w:rPr>
              <w:t>1</w:t>
            </w:r>
          </w:p>
        </w:tc>
      </w:tr>
      <w:tr>
        <w:trPr>
          <w:trHeight w:val="20"/>
        </w:trPr>
        <w:tc>
          <w:tcPr>
            <w:tcW w:w="480" w:type="dxa"/>
            <w:vAlign w:val="bottom"/>
            <w:shd w:val="clear" w:color="auto" w:fill="1278A9"/>
          </w:tcPr>
          <w:p>
            <w:pPr>
              <w:spacing w:after="0" w:line="20" w:lineRule="exact"/>
              <w:rPr>
                <w:sz w:val="1"/>
                <w:szCs w:val="1"/>
                <w:color w:val="auto"/>
              </w:rPr>
            </w:pPr>
          </w:p>
        </w:tc>
        <w:tc>
          <w:tcPr>
            <w:tcW w:w="340" w:type="dxa"/>
            <w:vAlign w:val="bottom"/>
            <w:shd w:val="clear" w:color="auto" w:fill="1278A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240" w:type="dxa"/>
            <w:vAlign w:val="bottom"/>
            <w:tcBorders>
              <w:bottom w:val="single" w:sz="8" w:color="58585A"/>
            </w:tcBorders>
            <w:gridSpan w:val="2"/>
          </w:tcPr>
          <w:p>
            <w:pPr>
              <w:spacing w:after="0"/>
              <w:rPr>
                <w:rFonts w:ascii="Arial" w:cs="Arial" w:eastAsia="Arial" w:hAnsi="Arial"/>
                <w:sz w:val="18"/>
                <w:szCs w:val="18"/>
                <w:color w:val="58585A"/>
                <w:w w:val="98"/>
              </w:rPr>
            </w:pPr>
            <w:hyperlink w:anchor="page6">
              <w:r>
                <w:rPr>
                  <w:rFonts w:ascii="Arial" w:cs="Arial" w:eastAsia="Arial" w:hAnsi="Arial"/>
                  <w:sz w:val="18"/>
                  <w:szCs w:val="18"/>
                  <w:color w:val="58585A"/>
                  <w:w w:val="98"/>
                </w:rPr>
                <w:t>Proxy Materials</w:t>
              </w:r>
            </w:hyperlink>
          </w:p>
        </w:tc>
        <w:tc>
          <w:tcPr>
            <w:tcW w:w="3120" w:type="dxa"/>
            <w:vAlign w:val="bottom"/>
            <w:gridSpan w:val="5"/>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58585A"/>
              </w:rPr>
              <w:t>1</w:t>
            </w:r>
          </w:p>
        </w:tc>
      </w:tr>
      <w:tr>
        <w:trPr>
          <w:trHeight w:val="209"/>
        </w:trPr>
        <w:tc>
          <w:tcPr>
            <w:tcW w:w="480" w:type="dxa"/>
            <w:vAlign w:val="bottom"/>
          </w:tcPr>
          <w:p>
            <w:pPr>
              <w:spacing w:after="0"/>
              <w:rPr>
                <w:sz w:val="18"/>
                <w:szCs w:val="18"/>
                <w:color w:val="auto"/>
              </w:rPr>
            </w:pPr>
          </w:p>
        </w:tc>
        <w:tc>
          <w:tcPr>
            <w:tcW w:w="4360" w:type="dxa"/>
            <w:vAlign w:val="bottom"/>
            <w:gridSpan w:val="7"/>
          </w:tcPr>
          <w:p>
            <w:pPr>
              <w:spacing w:after="0"/>
              <w:rPr>
                <w:rFonts w:ascii="Arial" w:cs="Arial" w:eastAsia="Arial" w:hAnsi="Arial"/>
                <w:sz w:val="18"/>
                <w:szCs w:val="18"/>
                <w:color w:val="58585A"/>
              </w:rPr>
            </w:pPr>
            <w:hyperlink w:anchor="page6">
              <w:r>
                <w:rPr>
                  <w:rFonts w:ascii="Arial" w:cs="Arial" w:eastAsia="Arial" w:hAnsi="Arial"/>
                  <w:sz w:val="18"/>
                  <w:szCs w:val="18"/>
                  <w:color w:val="58585A"/>
                </w:rPr>
                <w:t>Proposals for Your Vote at the 2021 Annual Meeting</w:t>
              </w:r>
            </w:hyperlink>
          </w:p>
        </w:tc>
        <w:tc>
          <w:tcPr>
            <w:tcW w:w="340" w:type="dxa"/>
            <w:vAlign w:val="bottom"/>
          </w:tcPr>
          <w:p>
            <w:pPr>
              <w:jc w:val="right"/>
              <w:spacing w:after="0"/>
              <w:rPr>
                <w:sz w:val="20"/>
                <w:szCs w:val="20"/>
                <w:color w:val="auto"/>
              </w:rPr>
            </w:pPr>
            <w:r>
              <w:rPr>
                <w:rFonts w:ascii="Arial" w:cs="Arial" w:eastAsia="Arial" w:hAnsi="Arial"/>
                <w:sz w:val="18"/>
                <w:szCs w:val="18"/>
                <w:color w:val="58585A"/>
              </w:rPr>
              <w:t>1</w:t>
            </w:r>
          </w:p>
        </w:tc>
      </w:tr>
      <w:tr>
        <w:trPr>
          <w:trHeight w:val="210"/>
        </w:trPr>
        <w:tc>
          <w:tcPr>
            <w:tcW w:w="480" w:type="dxa"/>
            <w:vAlign w:val="bottom"/>
          </w:tcPr>
          <w:p>
            <w:pPr>
              <w:spacing w:after="0"/>
              <w:rPr>
                <w:sz w:val="18"/>
                <w:szCs w:val="18"/>
                <w:color w:val="auto"/>
              </w:rPr>
            </w:pPr>
          </w:p>
        </w:tc>
        <w:tc>
          <w:tcPr>
            <w:tcW w:w="4120" w:type="dxa"/>
            <w:vAlign w:val="bottom"/>
            <w:tcBorders>
              <w:top w:val="single" w:sz="8" w:color="58585A"/>
            </w:tcBorders>
            <w:gridSpan w:val="6"/>
          </w:tcPr>
          <w:p>
            <w:pPr>
              <w:spacing w:after="0"/>
              <w:rPr>
                <w:rFonts w:ascii="Arial" w:cs="Arial" w:eastAsia="Arial" w:hAnsi="Arial"/>
                <w:sz w:val="18"/>
                <w:szCs w:val="18"/>
                <w:color w:val="58585A"/>
              </w:rPr>
            </w:pPr>
            <w:hyperlink w:anchor="page6">
              <w:r>
                <w:rPr>
                  <w:rFonts w:ascii="Arial" w:cs="Arial" w:eastAsia="Arial" w:hAnsi="Arial"/>
                  <w:sz w:val="18"/>
                  <w:szCs w:val="18"/>
                  <w:color w:val="58585A"/>
                </w:rPr>
                <w:t>Voting Your Shares</w:t>
              </w:r>
            </w:hyperlink>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58585A"/>
              </w:rPr>
              <w:t>1</w:t>
            </w:r>
          </w:p>
        </w:tc>
      </w:tr>
      <w:tr>
        <w:trPr>
          <w:trHeight w:val="20"/>
        </w:trPr>
        <w:tc>
          <w:tcPr>
            <w:tcW w:w="480" w:type="dxa"/>
            <w:vAlign w:val="bottom"/>
          </w:tcPr>
          <w:p>
            <w:pPr>
              <w:spacing w:after="0" w:line="20" w:lineRule="exact"/>
              <w:rPr>
                <w:sz w:val="1"/>
                <w:szCs w:val="1"/>
                <w:color w:val="auto"/>
              </w:rPr>
            </w:pPr>
          </w:p>
        </w:tc>
        <w:tc>
          <w:tcPr>
            <w:tcW w:w="1520" w:type="dxa"/>
            <w:vAlign w:val="bottom"/>
            <w:gridSpan w:val="3"/>
            <w:shd w:val="clear" w:color="auto" w:fill="58585A"/>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360" w:type="dxa"/>
            <w:vAlign w:val="bottom"/>
            <w:gridSpan w:val="7"/>
          </w:tcPr>
          <w:p>
            <w:pPr>
              <w:spacing w:after="0"/>
              <w:rPr>
                <w:rFonts w:ascii="Arial" w:cs="Arial" w:eastAsia="Arial" w:hAnsi="Arial"/>
                <w:sz w:val="18"/>
                <w:szCs w:val="18"/>
                <w:color w:val="58585A"/>
              </w:rPr>
            </w:pPr>
            <w:hyperlink w:anchor="page6">
              <w:r>
                <w:rPr>
                  <w:rFonts w:ascii="Arial" w:cs="Arial" w:eastAsia="Arial" w:hAnsi="Arial"/>
                  <w:sz w:val="18"/>
                  <w:szCs w:val="18"/>
                  <w:color w:val="58585A"/>
                </w:rPr>
                <w:t>Participating in the Virtual 2021 Annual Meeting</w:t>
              </w:r>
            </w:hyperlink>
          </w:p>
        </w:tc>
        <w:tc>
          <w:tcPr>
            <w:tcW w:w="340" w:type="dxa"/>
            <w:vAlign w:val="bottom"/>
          </w:tcPr>
          <w:p>
            <w:pPr>
              <w:jc w:val="right"/>
              <w:spacing w:after="0"/>
              <w:rPr>
                <w:sz w:val="20"/>
                <w:szCs w:val="20"/>
                <w:color w:val="auto"/>
              </w:rPr>
            </w:pPr>
            <w:r>
              <w:rPr>
                <w:rFonts w:ascii="Arial" w:cs="Arial" w:eastAsia="Arial" w:hAnsi="Arial"/>
                <w:sz w:val="18"/>
                <w:szCs w:val="18"/>
                <w:color w:val="58585A"/>
              </w:rPr>
              <w:t>1</w:t>
            </w:r>
          </w:p>
        </w:tc>
      </w:tr>
      <w:tr>
        <w:trPr>
          <w:trHeight w:val="209"/>
        </w:trPr>
        <w:tc>
          <w:tcPr>
            <w:tcW w:w="480" w:type="dxa"/>
            <w:vAlign w:val="bottom"/>
          </w:tcPr>
          <w:p>
            <w:pPr>
              <w:spacing w:after="0"/>
              <w:rPr>
                <w:sz w:val="18"/>
                <w:szCs w:val="18"/>
                <w:color w:val="auto"/>
              </w:rPr>
            </w:pPr>
          </w:p>
        </w:tc>
        <w:tc>
          <w:tcPr>
            <w:tcW w:w="1740" w:type="dxa"/>
            <w:vAlign w:val="bottom"/>
            <w:tcBorders>
              <w:top w:val="single" w:sz="8" w:color="58585A"/>
              <w:bottom w:val="single" w:sz="8" w:color="58585A"/>
            </w:tcBorders>
            <w:gridSpan w:val="4"/>
          </w:tcPr>
          <w:p>
            <w:pPr>
              <w:spacing w:after="0"/>
              <w:rPr>
                <w:rFonts w:ascii="Arial" w:cs="Arial" w:eastAsia="Arial" w:hAnsi="Arial"/>
                <w:sz w:val="18"/>
                <w:szCs w:val="18"/>
                <w:color w:val="58585A"/>
                <w:w w:val="98"/>
              </w:rPr>
            </w:pPr>
            <w:hyperlink w:anchor="page6">
              <w:r>
                <w:rPr>
                  <w:rFonts w:ascii="Arial" w:cs="Arial" w:eastAsia="Arial" w:hAnsi="Arial"/>
                  <w:sz w:val="18"/>
                  <w:szCs w:val="18"/>
                  <w:color w:val="58585A"/>
                  <w:w w:val="98"/>
                </w:rPr>
                <w:t>Additional Information</w:t>
              </w:r>
            </w:hyperlink>
          </w:p>
        </w:tc>
        <w:tc>
          <w:tcPr>
            <w:tcW w:w="2040" w:type="dxa"/>
            <w:vAlign w:val="bottom"/>
            <w:tcBorders>
              <w:top w:val="single" w:sz="8" w:color="58585A"/>
            </w:tcBorders>
          </w:tcPr>
          <w:p>
            <w:pPr>
              <w:spacing w:after="0"/>
              <w:rPr>
                <w:sz w:val="18"/>
                <w:szCs w:val="18"/>
                <w:color w:val="auto"/>
              </w:rPr>
            </w:pPr>
          </w:p>
        </w:tc>
        <w:tc>
          <w:tcPr>
            <w:tcW w:w="580" w:type="dxa"/>
            <w:vAlign w:val="bottom"/>
            <w:gridSpan w:val="2"/>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58585A"/>
              </w:rPr>
              <w:t>1</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Borders>
              <w:bottom w:val="single" w:sz="8" w:color="1278A9"/>
            </w:tcBorders>
            <w:gridSpan w:val="3"/>
          </w:tcPr>
          <w:p>
            <w:pPr>
              <w:spacing w:after="0"/>
              <w:rPr>
                <w:rFonts w:ascii="Arial" w:cs="Arial" w:eastAsia="Arial" w:hAnsi="Arial"/>
                <w:sz w:val="18"/>
                <w:szCs w:val="18"/>
                <w:b w:val="1"/>
                <w:bCs w:val="1"/>
                <w:color w:val="1278A9"/>
                <w:w w:val="99"/>
              </w:rPr>
            </w:pPr>
            <w:hyperlink w:anchor="page7">
              <w:r>
                <w:rPr>
                  <w:rFonts w:ascii="Arial" w:cs="Arial" w:eastAsia="Arial" w:hAnsi="Arial"/>
                  <w:sz w:val="18"/>
                  <w:szCs w:val="18"/>
                  <w:b w:val="1"/>
                  <w:bCs w:val="1"/>
                  <w:color w:val="1278A9"/>
                  <w:w w:val="99"/>
                </w:rPr>
                <w:t>Proposal 1: Election of Directors</w:t>
              </w:r>
            </w:hyperlink>
          </w:p>
        </w:tc>
        <w:tc>
          <w:tcPr>
            <w:tcW w:w="2140" w:type="dxa"/>
            <w:vAlign w:val="bottom"/>
            <w:gridSpan w:val="6"/>
          </w:tcPr>
          <w:p>
            <w:pPr>
              <w:spacing w:after="0"/>
              <w:rPr>
                <w:sz w:val="17"/>
                <w:szCs w:val="17"/>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1278A9"/>
                <w:w w:val="99"/>
              </w:rPr>
              <w:t>2</w:t>
            </w:r>
          </w:p>
        </w:tc>
      </w:tr>
      <w:tr>
        <w:trPr>
          <w:trHeight w:val="209"/>
        </w:trPr>
        <w:tc>
          <w:tcPr>
            <w:tcW w:w="480" w:type="dxa"/>
            <w:vAlign w:val="bottom"/>
          </w:tcPr>
          <w:p>
            <w:pPr>
              <w:spacing w:after="0"/>
              <w:rPr>
                <w:sz w:val="18"/>
                <w:szCs w:val="18"/>
                <w:color w:val="auto"/>
              </w:rPr>
            </w:pPr>
          </w:p>
        </w:tc>
        <w:tc>
          <w:tcPr>
            <w:tcW w:w="2900" w:type="dxa"/>
            <w:vAlign w:val="bottom"/>
            <w:tcBorders>
              <w:bottom w:val="single" w:sz="8" w:color="58585A"/>
            </w:tcBorders>
            <w:gridSpan w:val="4"/>
          </w:tcPr>
          <w:p>
            <w:pPr>
              <w:spacing w:after="0"/>
              <w:rPr>
                <w:rFonts w:ascii="Arial" w:cs="Arial" w:eastAsia="Arial" w:hAnsi="Arial"/>
                <w:sz w:val="18"/>
                <w:szCs w:val="18"/>
                <w:color w:val="58585A"/>
                <w:w w:val="99"/>
              </w:rPr>
            </w:pPr>
            <w:hyperlink w:anchor="page8">
              <w:r>
                <w:rPr>
                  <w:rFonts w:ascii="Arial" w:cs="Arial" w:eastAsia="Arial" w:hAnsi="Arial"/>
                  <w:sz w:val="18"/>
                  <w:szCs w:val="18"/>
                  <w:color w:val="58585A"/>
                  <w:w w:val="99"/>
                </w:rPr>
                <w:t>Overall Board Composition and Size</w:t>
              </w:r>
            </w:hyperlink>
          </w:p>
        </w:tc>
        <w:tc>
          <w:tcPr>
            <w:tcW w:w="1560" w:type="dxa"/>
            <w:vAlign w:val="bottom"/>
            <w:gridSpan w:val="4"/>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58585A"/>
                <w:w w:val="99"/>
              </w:rPr>
              <w:t>3</w:t>
            </w:r>
          </w:p>
        </w:tc>
      </w:tr>
      <w:tr>
        <w:trPr>
          <w:trHeight w:val="209"/>
        </w:trPr>
        <w:tc>
          <w:tcPr>
            <w:tcW w:w="480" w:type="dxa"/>
            <w:vAlign w:val="bottom"/>
          </w:tcPr>
          <w:p>
            <w:pPr>
              <w:spacing w:after="0"/>
              <w:rPr>
                <w:sz w:val="18"/>
                <w:szCs w:val="18"/>
                <w:color w:val="auto"/>
              </w:rPr>
            </w:pPr>
          </w:p>
        </w:tc>
        <w:tc>
          <w:tcPr>
            <w:tcW w:w="3700" w:type="dxa"/>
            <w:vAlign w:val="bottom"/>
            <w:tcBorders>
              <w:bottom w:val="single" w:sz="8" w:color="58585A"/>
            </w:tcBorders>
            <w:gridSpan w:val="5"/>
          </w:tcPr>
          <w:p>
            <w:pPr>
              <w:spacing w:after="0"/>
              <w:rPr>
                <w:rFonts w:ascii="Arial" w:cs="Arial" w:eastAsia="Arial" w:hAnsi="Arial"/>
                <w:sz w:val="18"/>
                <w:szCs w:val="18"/>
                <w:color w:val="58585A"/>
                <w:w w:val="99"/>
              </w:rPr>
            </w:pPr>
            <w:hyperlink w:anchor="page8">
              <w:r>
                <w:rPr>
                  <w:rFonts w:ascii="Arial" w:cs="Arial" w:eastAsia="Arial" w:hAnsi="Arial"/>
                  <w:sz w:val="18"/>
                  <w:szCs w:val="18"/>
                  <w:color w:val="58585A"/>
                  <w:w w:val="99"/>
                </w:rPr>
                <w:t>Identifying and Evaluating Director Candidates</w:t>
              </w:r>
            </w:hyperlink>
          </w:p>
        </w:tc>
        <w:tc>
          <w:tcPr>
            <w:tcW w:w="760" w:type="dxa"/>
            <w:vAlign w:val="bottom"/>
            <w:gridSpan w:val="3"/>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58585A"/>
                <w:w w:val="99"/>
              </w:rPr>
              <w:t>3</w:t>
            </w:r>
          </w:p>
        </w:tc>
      </w:tr>
      <w:tr>
        <w:trPr>
          <w:trHeight w:val="210"/>
        </w:trPr>
        <w:tc>
          <w:tcPr>
            <w:tcW w:w="480" w:type="dxa"/>
            <w:vAlign w:val="bottom"/>
          </w:tcPr>
          <w:p>
            <w:pPr>
              <w:spacing w:after="0"/>
              <w:rPr>
                <w:sz w:val="18"/>
                <w:szCs w:val="18"/>
                <w:color w:val="auto"/>
              </w:rPr>
            </w:pPr>
          </w:p>
        </w:tc>
        <w:tc>
          <w:tcPr>
            <w:tcW w:w="4460" w:type="dxa"/>
            <w:vAlign w:val="bottom"/>
            <w:gridSpan w:val="8"/>
          </w:tcPr>
          <w:p>
            <w:pPr>
              <w:spacing w:after="0"/>
              <w:rPr>
                <w:rFonts w:ascii="Arial" w:cs="Arial" w:eastAsia="Arial" w:hAnsi="Arial"/>
                <w:sz w:val="18"/>
                <w:szCs w:val="18"/>
                <w:color w:val="58585A"/>
              </w:rPr>
            </w:pPr>
            <w:hyperlink w:anchor="page9">
              <w:r>
                <w:rPr>
                  <w:rFonts w:ascii="Arial" w:cs="Arial" w:eastAsia="Arial" w:hAnsi="Arial"/>
                  <w:sz w:val="18"/>
                  <w:szCs w:val="18"/>
                  <w:color w:val="58585A"/>
                </w:rPr>
                <w:t>Board Qualifications and Experience</w:t>
              </w:r>
            </w:hyperlink>
          </w:p>
        </w:tc>
        <w:tc>
          <w:tcPr>
            <w:tcW w:w="300" w:type="dxa"/>
            <w:vAlign w:val="bottom"/>
          </w:tcPr>
          <w:p>
            <w:pPr>
              <w:jc w:val="center"/>
              <w:spacing w:after="0"/>
              <w:rPr>
                <w:sz w:val="20"/>
                <w:szCs w:val="20"/>
                <w:color w:val="auto"/>
              </w:rPr>
            </w:pPr>
            <w:r>
              <w:rPr>
                <w:rFonts w:ascii="Arial" w:cs="Arial" w:eastAsia="Arial" w:hAnsi="Arial"/>
                <w:sz w:val="18"/>
                <w:szCs w:val="18"/>
                <w:color w:val="58585A"/>
                <w:w w:val="99"/>
              </w:rPr>
              <w:t>4</w:t>
            </w:r>
          </w:p>
        </w:tc>
      </w:tr>
      <w:tr>
        <w:trPr>
          <w:trHeight w:val="209"/>
        </w:trPr>
        <w:tc>
          <w:tcPr>
            <w:tcW w:w="480" w:type="dxa"/>
            <w:vAlign w:val="bottom"/>
          </w:tcPr>
          <w:p>
            <w:pPr>
              <w:spacing w:after="0"/>
              <w:rPr>
                <w:sz w:val="18"/>
                <w:szCs w:val="18"/>
                <w:color w:val="auto"/>
              </w:rPr>
            </w:pPr>
          </w:p>
        </w:tc>
        <w:tc>
          <w:tcPr>
            <w:tcW w:w="2440" w:type="dxa"/>
            <w:vAlign w:val="bottom"/>
            <w:tcBorders>
              <w:top w:val="single" w:sz="8" w:color="58585A"/>
              <w:bottom w:val="single" w:sz="8" w:color="58585A"/>
            </w:tcBorders>
            <w:gridSpan w:val="3"/>
          </w:tcPr>
          <w:p>
            <w:pPr>
              <w:spacing w:after="0"/>
              <w:rPr>
                <w:rFonts w:ascii="Arial" w:cs="Arial" w:eastAsia="Arial" w:hAnsi="Arial"/>
                <w:sz w:val="18"/>
                <w:szCs w:val="18"/>
                <w:color w:val="58585A"/>
                <w:w w:val="99"/>
              </w:rPr>
            </w:pPr>
            <w:hyperlink w:anchor="page11">
              <w:r>
                <w:rPr>
                  <w:rFonts w:ascii="Arial" w:cs="Arial" w:eastAsia="Arial" w:hAnsi="Arial"/>
                  <w:sz w:val="18"/>
                  <w:szCs w:val="18"/>
                  <w:color w:val="58585A"/>
                  <w:w w:val="99"/>
                </w:rPr>
                <w:t>Director Nominees for Election</w:t>
              </w:r>
            </w:hyperlink>
          </w:p>
        </w:tc>
        <w:tc>
          <w:tcPr>
            <w:tcW w:w="460" w:type="dxa"/>
            <w:vAlign w:val="bottom"/>
            <w:tcBorders>
              <w:top w:val="single" w:sz="8" w:color="58585A"/>
            </w:tcBorders>
          </w:tcPr>
          <w:p>
            <w:pPr>
              <w:spacing w:after="0"/>
              <w:rPr>
                <w:sz w:val="18"/>
                <w:szCs w:val="18"/>
                <w:color w:val="auto"/>
              </w:rPr>
            </w:pPr>
          </w:p>
        </w:tc>
        <w:tc>
          <w:tcPr>
            <w:tcW w:w="1560" w:type="dxa"/>
            <w:vAlign w:val="bottom"/>
            <w:gridSpan w:val="4"/>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58585A"/>
                <w:w w:val="99"/>
              </w:rPr>
              <w:t>6</w:t>
            </w:r>
          </w:p>
        </w:tc>
      </w:tr>
      <w:tr>
        <w:trPr>
          <w:trHeight w:val="209"/>
        </w:trPr>
        <w:tc>
          <w:tcPr>
            <w:tcW w:w="480" w:type="dxa"/>
            <w:vAlign w:val="bottom"/>
          </w:tcPr>
          <w:p>
            <w:pPr>
              <w:spacing w:after="0"/>
              <w:rPr>
                <w:sz w:val="18"/>
                <w:szCs w:val="18"/>
                <w:color w:val="auto"/>
              </w:rPr>
            </w:pPr>
          </w:p>
        </w:tc>
        <w:tc>
          <w:tcPr>
            <w:tcW w:w="4460" w:type="dxa"/>
            <w:vAlign w:val="bottom"/>
            <w:gridSpan w:val="8"/>
          </w:tcPr>
          <w:p>
            <w:pPr>
              <w:spacing w:after="0"/>
              <w:rPr>
                <w:rFonts w:ascii="Arial" w:cs="Arial" w:eastAsia="Arial" w:hAnsi="Arial"/>
                <w:sz w:val="18"/>
                <w:szCs w:val="18"/>
                <w:color w:val="58585A"/>
              </w:rPr>
            </w:pPr>
            <w:hyperlink w:anchor="page16">
              <w:r>
                <w:rPr>
                  <w:rFonts w:ascii="Arial" w:cs="Arial" w:eastAsia="Arial" w:hAnsi="Arial"/>
                  <w:sz w:val="18"/>
                  <w:szCs w:val="18"/>
                  <w:color w:val="58585A"/>
                </w:rPr>
                <w:t>Process for Shareholder to Recommend Individuals for</w:t>
              </w:r>
            </w:hyperlink>
          </w:p>
        </w:tc>
        <w:tc>
          <w:tcPr>
            <w:tcW w:w="300" w:type="dxa"/>
            <w:vAlign w:val="bottom"/>
          </w:tcPr>
          <w:p>
            <w:pPr>
              <w:spacing w:after="0"/>
              <w:rPr>
                <w:sz w:val="18"/>
                <w:szCs w:val="18"/>
                <w:color w:val="auto"/>
              </w:rPr>
            </w:pPr>
          </w:p>
        </w:tc>
      </w:tr>
      <w:tr>
        <w:trPr>
          <w:trHeight w:val="183"/>
        </w:trPr>
        <w:tc>
          <w:tcPr>
            <w:tcW w:w="480" w:type="dxa"/>
            <w:vAlign w:val="bottom"/>
          </w:tcPr>
          <w:p>
            <w:pPr>
              <w:spacing w:after="0"/>
              <w:rPr>
                <w:sz w:val="15"/>
                <w:szCs w:val="15"/>
                <w:color w:val="auto"/>
              </w:rPr>
            </w:pPr>
          </w:p>
        </w:tc>
        <w:tc>
          <w:tcPr>
            <w:tcW w:w="4360" w:type="dxa"/>
            <w:vAlign w:val="bottom"/>
            <w:tcBorders>
              <w:top w:val="single" w:sz="8" w:color="58585A"/>
            </w:tcBorders>
            <w:gridSpan w:val="7"/>
          </w:tcPr>
          <w:p>
            <w:pPr>
              <w:spacing w:after="0" w:line="182" w:lineRule="exact"/>
              <w:rPr>
                <w:rFonts w:ascii="Arial" w:cs="Arial" w:eastAsia="Arial" w:hAnsi="Arial"/>
                <w:sz w:val="18"/>
                <w:szCs w:val="18"/>
                <w:color w:val="58585A"/>
              </w:rPr>
            </w:pPr>
            <w:hyperlink w:anchor="page16">
              <w:r>
                <w:rPr>
                  <w:rFonts w:ascii="Arial" w:cs="Arial" w:eastAsia="Arial" w:hAnsi="Arial"/>
                  <w:sz w:val="18"/>
                  <w:szCs w:val="18"/>
                  <w:color w:val="58585A"/>
                </w:rPr>
                <w:t>Consideration by the Nominating and Corporate</w:t>
              </w:r>
            </w:hyperlink>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1900" w:type="dxa"/>
            <w:vAlign w:val="bottom"/>
            <w:tcBorders>
              <w:top w:val="single" w:sz="8" w:color="58585A"/>
              <w:bottom w:val="single" w:sz="8" w:color="58585A"/>
            </w:tcBorders>
          </w:tcPr>
          <w:p>
            <w:pPr>
              <w:spacing w:after="0" w:line="182" w:lineRule="exact"/>
              <w:rPr>
                <w:rFonts w:ascii="Arial" w:cs="Arial" w:eastAsia="Arial" w:hAnsi="Arial"/>
                <w:sz w:val="18"/>
                <w:szCs w:val="18"/>
                <w:color w:val="58585A"/>
                <w:w w:val="98"/>
              </w:rPr>
            </w:pPr>
            <w:hyperlink w:anchor="page16">
              <w:r>
                <w:rPr>
                  <w:rFonts w:ascii="Arial" w:cs="Arial" w:eastAsia="Arial" w:hAnsi="Arial"/>
                  <w:sz w:val="18"/>
                  <w:szCs w:val="18"/>
                  <w:color w:val="58585A"/>
                  <w:w w:val="98"/>
                </w:rPr>
                <w:t>Governance Committee</w:t>
              </w:r>
            </w:hyperlink>
          </w:p>
        </w:tc>
        <w:tc>
          <w:tcPr>
            <w:tcW w:w="1900" w:type="dxa"/>
            <w:vAlign w:val="bottom"/>
            <w:tcBorders>
              <w:top w:val="single" w:sz="8" w:color="58585A"/>
            </w:tcBorders>
            <w:gridSpan w:val="5"/>
          </w:tcPr>
          <w:p>
            <w:pPr>
              <w:spacing w:after="0"/>
              <w:rPr>
                <w:sz w:val="15"/>
                <w:szCs w:val="15"/>
                <w:color w:val="auto"/>
              </w:rPr>
            </w:pPr>
          </w:p>
        </w:tc>
        <w:tc>
          <w:tcPr>
            <w:tcW w:w="660" w:type="dxa"/>
            <w:vAlign w:val="bottom"/>
            <w:gridSpan w:val="2"/>
          </w:tcPr>
          <w:p>
            <w:pPr>
              <w:spacing w:after="0"/>
              <w:rPr>
                <w:sz w:val="15"/>
                <w:szCs w:val="15"/>
                <w:color w:val="auto"/>
              </w:rPr>
            </w:pPr>
          </w:p>
        </w:tc>
        <w:tc>
          <w:tcPr>
            <w:tcW w:w="300" w:type="dxa"/>
            <w:vAlign w:val="bottom"/>
          </w:tcPr>
          <w:p>
            <w:pPr>
              <w:jc w:val="center"/>
              <w:ind w:left="10"/>
              <w:spacing w:after="0" w:line="182" w:lineRule="exact"/>
              <w:rPr>
                <w:sz w:val="20"/>
                <w:szCs w:val="20"/>
                <w:color w:val="auto"/>
              </w:rPr>
            </w:pPr>
            <w:r>
              <w:rPr>
                <w:rFonts w:ascii="Arial" w:cs="Arial" w:eastAsia="Arial" w:hAnsi="Arial"/>
                <w:sz w:val="18"/>
                <w:szCs w:val="18"/>
                <w:color w:val="58585A"/>
                <w:w w:val="99"/>
              </w:rPr>
              <w:t>11</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Borders>
              <w:bottom w:val="single" w:sz="8" w:color="1278A9"/>
            </w:tcBorders>
            <w:gridSpan w:val="3"/>
          </w:tcPr>
          <w:p>
            <w:pPr>
              <w:spacing w:after="0"/>
              <w:rPr>
                <w:rFonts w:ascii="Arial" w:cs="Arial" w:eastAsia="Arial" w:hAnsi="Arial"/>
                <w:sz w:val="18"/>
                <w:szCs w:val="18"/>
                <w:b w:val="1"/>
                <w:bCs w:val="1"/>
                <w:color w:val="1278A9"/>
                <w:w w:val="99"/>
              </w:rPr>
            </w:pPr>
            <w:hyperlink w:anchor="page17">
              <w:r>
                <w:rPr>
                  <w:rFonts w:ascii="Arial" w:cs="Arial" w:eastAsia="Arial" w:hAnsi="Arial"/>
                  <w:sz w:val="18"/>
                  <w:szCs w:val="18"/>
                  <w:b w:val="1"/>
                  <w:bCs w:val="1"/>
                  <w:color w:val="1278A9"/>
                  <w:w w:val="99"/>
                </w:rPr>
                <w:t>Corporate Governance</w:t>
              </w:r>
            </w:hyperlink>
          </w:p>
        </w:tc>
        <w:tc>
          <w:tcPr>
            <w:tcW w:w="2920" w:type="dxa"/>
            <w:vAlign w:val="bottom"/>
            <w:gridSpan w:val="12"/>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1278A9"/>
              </w:rPr>
              <w:t>12</w:t>
            </w:r>
          </w:p>
        </w:tc>
      </w:tr>
      <w:tr>
        <w:trPr>
          <w:trHeight w:val="209"/>
        </w:trPr>
        <w:tc>
          <w:tcPr>
            <w:tcW w:w="480" w:type="dxa"/>
            <w:vAlign w:val="bottom"/>
          </w:tcPr>
          <w:p>
            <w:pPr>
              <w:spacing w:after="0"/>
              <w:rPr>
                <w:sz w:val="18"/>
                <w:szCs w:val="18"/>
                <w:color w:val="auto"/>
              </w:rPr>
            </w:pPr>
          </w:p>
        </w:tc>
        <w:tc>
          <w:tcPr>
            <w:tcW w:w="1800" w:type="dxa"/>
            <w:vAlign w:val="bottom"/>
            <w:tcBorders>
              <w:bottom w:val="single" w:sz="8" w:color="58585A"/>
            </w:tcBorders>
            <w:gridSpan w:val="3"/>
          </w:tcPr>
          <w:p>
            <w:pPr>
              <w:spacing w:after="0"/>
              <w:rPr>
                <w:rFonts w:ascii="Arial" w:cs="Arial" w:eastAsia="Arial" w:hAnsi="Arial"/>
                <w:sz w:val="18"/>
                <w:szCs w:val="18"/>
                <w:color w:val="58585A"/>
                <w:w w:val="98"/>
              </w:rPr>
            </w:pPr>
            <w:hyperlink w:anchor="page17">
              <w:r>
                <w:rPr>
                  <w:rFonts w:ascii="Arial" w:cs="Arial" w:eastAsia="Arial" w:hAnsi="Arial"/>
                  <w:sz w:val="18"/>
                  <w:szCs w:val="18"/>
                  <w:color w:val="58585A"/>
                  <w:w w:val="98"/>
                </w:rPr>
                <w:t>Our Board of Directors</w:t>
              </w:r>
            </w:hyperlink>
          </w:p>
        </w:tc>
        <w:tc>
          <w:tcPr>
            <w:tcW w:w="2600" w:type="dxa"/>
            <w:vAlign w:val="bottom"/>
            <w:gridSpan w:val="11"/>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58585A"/>
              </w:rPr>
              <w:t>12</w:t>
            </w:r>
          </w:p>
        </w:tc>
      </w:tr>
      <w:tr>
        <w:trPr>
          <w:trHeight w:val="210"/>
        </w:trPr>
        <w:tc>
          <w:tcPr>
            <w:tcW w:w="480" w:type="dxa"/>
            <w:vAlign w:val="bottom"/>
          </w:tcPr>
          <w:p>
            <w:pPr>
              <w:spacing w:after="0"/>
              <w:rPr>
                <w:sz w:val="18"/>
                <w:szCs w:val="18"/>
                <w:color w:val="auto"/>
              </w:rPr>
            </w:pPr>
          </w:p>
        </w:tc>
        <w:tc>
          <w:tcPr>
            <w:tcW w:w="1820" w:type="dxa"/>
            <w:vAlign w:val="bottom"/>
            <w:tcBorders>
              <w:bottom w:val="single" w:sz="8" w:color="58585A"/>
            </w:tcBorders>
            <w:gridSpan w:val="4"/>
          </w:tcPr>
          <w:p>
            <w:pPr>
              <w:spacing w:after="0"/>
              <w:rPr>
                <w:rFonts w:ascii="Arial" w:cs="Arial" w:eastAsia="Arial" w:hAnsi="Arial"/>
                <w:sz w:val="18"/>
                <w:szCs w:val="18"/>
                <w:color w:val="58585A"/>
                <w:w w:val="98"/>
              </w:rPr>
            </w:pPr>
            <w:hyperlink w:anchor="page18">
              <w:r>
                <w:rPr>
                  <w:rFonts w:ascii="Arial" w:cs="Arial" w:eastAsia="Arial" w:hAnsi="Arial"/>
                  <w:sz w:val="18"/>
                  <w:szCs w:val="18"/>
                  <w:color w:val="58585A"/>
                  <w:w w:val="98"/>
                </w:rPr>
                <w:t>Director Independence</w:t>
              </w:r>
            </w:hyperlink>
          </w:p>
        </w:tc>
        <w:tc>
          <w:tcPr>
            <w:tcW w:w="2580" w:type="dxa"/>
            <w:vAlign w:val="bottom"/>
            <w:gridSpan w:val="10"/>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58585A"/>
              </w:rPr>
              <w:t>13</w:t>
            </w:r>
          </w:p>
        </w:tc>
      </w:tr>
      <w:tr>
        <w:trPr>
          <w:trHeight w:val="209"/>
        </w:trPr>
        <w:tc>
          <w:tcPr>
            <w:tcW w:w="480" w:type="dxa"/>
            <w:vAlign w:val="bottom"/>
          </w:tcPr>
          <w:p>
            <w:pPr>
              <w:spacing w:after="0"/>
              <w:rPr>
                <w:sz w:val="18"/>
                <w:szCs w:val="18"/>
                <w:color w:val="auto"/>
              </w:rPr>
            </w:pPr>
          </w:p>
        </w:tc>
        <w:tc>
          <w:tcPr>
            <w:tcW w:w="2200" w:type="dxa"/>
            <w:vAlign w:val="bottom"/>
            <w:tcBorders>
              <w:bottom w:val="single" w:sz="8" w:color="58585A"/>
            </w:tcBorders>
            <w:gridSpan w:val="7"/>
          </w:tcPr>
          <w:p>
            <w:pPr>
              <w:spacing w:after="0"/>
              <w:rPr>
                <w:rFonts w:ascii="Arial" w:cs="Arial" w:eastAsia="Arial" w:hAnsi="Arial"/>
                <w:sz w:val="18"/>
                <w:szCs w:val="18"/>
                <w:color w:val="58585A"/>
                <w:w w:val="99"/>
              </w:rPr>
            </w:pPr>
            <w:hyperlink w:anchor="page18">
              <w:r>
                <w:rPr>
                  <w:rFonts w:ascii="Arial" w:cs="Arial" w:eastAsia="Arial" w:hAnsi="Arial"/>
                  <w:sz w:val="18"/>
                  <w:szCs w:val="18"/>
                  <w:color w:val="58585A"/>
                  <w:w w:val="99"/>
                </w:rPr>
                <w:t>Board Leadership Structure</w:t>
              </w:r>
            </w:hyperlink>
          </w:p>
        </w:tc>
        <w:tc>
          <w:tcPr>
            <w:tcW w:w="2200" w:type="dxa"/>
            <w:vAlign w:val="bottom"/>
            <w:gridSpan w:val="7"/>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58585A"/>
              </w:rPr>
              <w:t>13</w:t>
            </w:r>
          </w:p>
        </w:tc>
      </w:tr>
      <w:tr>
        <w:trPr>
          <w:trHeight w:val="209"/>
        </w:trPr>
        <w:tc>
          <w:tcPr>
            <w:tcW w:w="480" w:type="dxa"/>
            <w:vAlign w:val="bottom"/>
          </w:tcPr>
          <w:p>
            <w:pPr>
              <w:spacing w:after="0"/>
              <w:rPr>
                <w:sz w:val="18"/>
                <w:szCs w:val="18"/>
                <w:color w:val="auto"/>
              </w:rPr>
            </w:pPr>
          </w:p>
        </w:tc>
        <w:tc>
          <w:tcPr>
            <w:tcW w:w="4400" w:type="dxa"/>
            <w:vAlign w:val="bottom"/>
            <w:gridSpan w:val="14"/>
          </w:tcPr>
          <w:p>
            <w:pPr>
              <w:spacing w:after="0"/>
              <w:rPr>
                <w:rFonts w:ascii="Arial" w:cs="Arial" w:eastAsia="Arial" w:hAnsi="Arial"/>
                <w:sz w:val="18"/>
                <w:szCs w:val="18"/>
                <w:color w:val="58585A"/>
              </w:rPr>
            </w:pPr>
            <w:hyperlink w:anchor="page19">
              <w:r>
                <w:rPr>
                  <w:rFonts w:ascii="Arial" w:cs="Arial" w:eastAsia="Arial" w:hAnsi="Arial"/>
                  <w:sz w:val="18"/>
                  <w:szCs w:val="18"/>
                  <w:color w:val="58585A"/>
                </w:rPr>
                <w:t>Board Evaluation</w:t>
              </w:r>
            </w:hyperlink>
          </w:p>
        </w:tc>
        <w:tc>
          <w:tcPr>
            <w:tcW w:w="360" w:type="dxa"/>
            <w:vAlign w:val="bottom"/>
          </w:tcPr>
          <w:p>
            <w:pPr>
              <w:jc w:val="right"/>
              <w:spacing w:after="0"/>
              <w:rPr>
                <w:sz w:val="20"/>
                <w:szCs w:val="20"/>
                <w:color w:val="auto"/>
              </w:rPr>
            </w:pPr>
            <w:r>
              <w:rPr>
                <w:rFonts w:ascii="Arial" w:cs="Arial" w:eastAsia="Arial" w:hAnsi="Arial"/>
                <w:sz w:val="18"/>
                <w:szCs w:val="18"/>
                <w:color w:val="58585A"/>
              </w:rPr>
              <w:t>14</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58585A"/>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3920" w:type="dxa"/>
            <w:vAlign w:val="bottom"/>
            <w:tcBorders>
              <w:bottom w:val="single" w:sz="8" w:color="58585A"/>
            </w:tcBorders>
            <w:gridSpan w:val="12"/>
          </w:tcPr>
          <w:p>
            <w:pPr>
              <w:spacing w:after="0"/>
              <w:rPr>
                <w:rFonts w:ascii="Arial" w:cs="Arial" w:eastAsia="Arial" w:hAnsi="Arial"/>
                <w:sz w:val="18"/>
                <w:szCs w:val="18"/>
                <w:color w:val="58585A"/>
                <w:w w:val="99"/>
              </w:rPr>
            </w:pPr>
            <w:hyperlink w:anchor="page19">
              <w:r>
                <w:rPr>
                  <w:rFonts w:ascii="Arial" w:cs="Arial" w:eastAsia="Arial" w:hAnsi="Arial"/>
                  <w:sz w:val="18"/>
                  <w:szCs w:val="18"/>
                  <w:color w:val="58585A"/>
                  <w:w w:val="99"/>
                </w:rPr>
                <w:t>CEO and Key Management Succession Planning</w:t>
              </w:r>
            </w:hyperlink>
          </w:p>
        </w:tc>
        <w:tc>
          <w:tcPr>
            <w:tcW w:w="480" w:type="dxa"/>
            <w:vAlign w:val="bottom"/>
            <w:gridSpan w:val="2"/>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58585A"/>
              </w:rPr>
              <w:t>14</w:t>
            </w:r>
          </w:p>
        </w:tc>
      </w:tr>
      <w:tr>
        <w:trPr>
          <w:trHeight w:val="210"/>
        </w:trPr>
        <w:tc>
          <w:tcPr>
            <w:tcW w:w="480" w:type="dxa"/>
            <w:vAlign w:val="bottom"/>
          </w:tcPr>
          <w:p>
            <w:pPr>
              <w:spacing w:after="0"/>
              <w:rPr>
                <w:sz w:val="18"/>
                <w:szCs w:val="18"/>
                <w:color w:val="auto"/>
              </w:rPr>
            </w:pPr>
          </w:p>
        </w:tc>
        <w:tc>
          <w:tcPr>
            <w:tcW w:w="4400" w:type="dxa"/>
            <w:vAlign w:val="bottom"/>
            <w:gridSpan w:val="14"/>
          </w:tcPr>
          <w:p>
            <w:pPr>
              <w:spacing w:after="0"/>
              <w:rPr>
                <w:rFonts w:ascii="Arial" w:cs="Arial" w:eastAsia="Arial" w:hAnsi="Arial"/>
                <w:sz w:val="18"/>
                <w:szCs w:val="18"/>
                <w:color w:val="58585A"/>
              </w:rPr>
            </w:pPr>
            <w:hyperlink w:anchor="page19">
              <w:r>
                <w:rPr>
                  <w:rFonts w:ascii="Arial" w:cs="Arial" w:eastAsia="Arial" w:hAnsi="Arial"/>
                  <w:sz w:val="18"/>
                  <w:szCs w:val="18"/>
                  <w:color w:val="58585A"/>
                </w:rPr>
                <w:t>Board Committees</w:t>
              </w:r>
            </w:hyperlink>
          </w:p>
        </w:tc>
        <w:tc>
          <w:tcPr>
            <w:tcW w:w="360" w:type="dxa"/>
            <w:vAlign w:val="bottom"/>
          </w:tcPr>
          <w:p>
            <w:pPr>
              <w:jc w:val="right"/>
              <w:spacing w:after="0"/>
              <w:rPr>
                <w:sz w:val="20"/>
                <w:szCs w:val="20"/>
                <w:color w:val="auto"/>
              </w:rPr>
            </w:pPr>
            <w:r>
              <w:rPr>
                <w:rFonts w:ascii="Arial" w:cs="Arial" w:eastAsia="Arial" w:hAnsi="Arial"/>
                <w:sz w:val="18"/>
                <w:szCs w:val="18"/>
                <w:color w:val="58585A"/>
              </w:rPr>
              <w:t>14</w:t>
            </w:r>
          </w:p>
        </w:tc>
      </w:tr>
      <w:tr>
        <w:trPr>
          <w:trHeight w:val="20"/>
        </w:trPr>
        <w:tc>
          <w:tcPr>
            <w:tcW w:w="480" w:type="dxa"/>
            <w:vAlign w:val="bottom"/>
          </w:tcPr>
          <w:p>
            <w:pPr>
              <w:spacing w:after="0" w:line="20" w:lineRule="exact"/>
              <w:rPr>
                <w:sz w:val="1"/>
                <w:szCs w:val="1"/>
                <w:color w:val="auto"/>
              </w:rPr>
            </w:pPr>
          </w:p>
        </w:tc>
        <w:tc>
          <w:tcPr>
            <w:tcW w:w="1480" w:type="dxa"/>
            <w:vAlign w:val="bottom"/>
            <w:gridSpan w:val="2"/>
            <w:shd w:val="clear" w:color="auto" w:fill="58585A"/>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3400" w:type="dxa"/>
            <w:vAlign w:val="bottom"/>
            <w:tcBorders>
              <w:bottom w:val="single" w:sz="8" w:color="58585A"/>
            </w:tcBorders>
            <w:gridSpan w:val="11"/>
          </w:tcPr>
          <w:p>
            <w:pPr>
              <w:spacing w:after="0"/>
              <w:rPr>
                <w:rFonts w:ascii="Arial" w:cs="Arial" w:eastAsia="Arial" w:hAnsi="Arial"/>
                <w:sz w:val="18"/>
                <w:szCs w:val="18"/>
                <w:color w:val="58585A"/>
                <w:w w:val="99"/>
              </w:rPr>
            </w:pPr>
            <w:hyperlink w:anchor="page22">
              <w:r>
                <w:rPr>
                  <w:rFonts w:ascii="Arial" w:cs="Arial" w:eastAsia="Arial" w:hAnsi="Arial"/>
                  <w:sz w:val="18"/>
                  <w:szCs w:val="18"/>
                  <w:color w:val="58585A"/>
                  <w:w w:val="99"/>
                </w:rPr>
                <w:t>Board and Committee Meeting Attendance</w:t>
              </w:r>
            </w:hyperlink>
          </w:p>
        </w:tc>
        <w:tc>
          <w:tcPr>
            <w:tcW w:w="1000" w:type="dxa"/>
            <w:vAlign w:val="bottom"/>
            <w:gridSpan w:val="3"/>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58585A"/>
              </w:rPr>
              <w:t>17</w:t>
            </w:r>
          </w:p>
        </w:tc>
      </w:tr>
      <w:tr>
        <w:trPr>
          <w:trHeight w:val="210"/>
        </w:trPr>
        <w:tc>
          <w:tcPr>
            <w:tcW w:w="480" w:type="dxa"/>
            <w:vAlign w:val="bottom"/>
          </w:tcPr>
          <w:p>
            <w:pPr>
              <w:spacing w:after="0"/>
              <w:rPr>
                <w:sz w:val="18"/>
                <w:szCs w:val="18"/>
                <w:color w:val="auto"/>
              </w:rPr>
            </w:pPr>
          </w:p>
        </w:tc>
        <w:tc>
          <w:tcPr>
            <w:tcW w:w="1900" w:type="dxa"/>
            <w:vAlign w:val="bottom"/>
            <w:tcBorders>
              <w:bottom w:val="single" w:sz="8" w:color="58585A"/>
            </w:tcBorders>
            <w:gridSpan w:val="5"/>
          </w:tcPr>
          <w:p>
            <w:pPr>
              <w:spacing w:after="0"/>
              <w:rPr>
                <w:rFonts w:ascii="Arial" w:cs="Arial" w:eastAsia="Arial" w:hAnsi="Arial"/>
                <w:sz w:val="18"/>
                <w:szCs w:val="18"/>
                <w:color w:val="58585A"/>
                <w:w w:val="98"/>
              </w:rPr>
            </w:pPr>
            <w:hyperlink w:anchor="page22">
              <w:r>
                <w:rPr>
                  <w:rFonts w:ascii="Arial" w:cs="Arial" w:eastAsia="Arial" w:hAnsi="Arial"/>
                  <w:sz w:val="18"/>
                  <w:szCs w:val="18"/>
                  <w:color w:val="58585A"/>
                  <w:w w:val="98"/>
                </w:rPr>
                <w:t>Board Oversight of Risk</w:t>
              </w:r>
            </w:hyperlink>
          </w:p>
        </w:tc>
        <w:tc>
          <w:tcPr>
            <w:tcW w:w="2500" w:type="dxa"/>
            <w:vAlign w:val="bottom"/>
            <w:gridSpan w:val="9"/>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58585A"/>
              </w:rPr>
              <w:t>17</w:t>
            </w:r>
          </w:p>
        </w:tc>
      </w:tr>
      <w:tr>
        <w:trPr>
          <w:trHeight w:val="209"/>
        </w:trPr>
        <w:tc>
          <w:tcPr>
            <w:tcW w:w="480" w:type="dxa"/>
            <w:vAlign w:val="bottom"/>
          </w:tcPr>
          <w:p>
            <w:pPr>
              <w:spacing w:after="0"/>
              <w:rPr>
                <w:sz w:val="18"/>
                <w:szCs w:val="18"/>
                <w:color w:val="auto"/>
              </w:rPr>
            </w:pPr>
          </w:p>
        </w:tc>
        <w:tc>
          <w:tcPr>
            <w:tcW w:w="4400" w:type="dxa"/>
            <w:vAlign w:val="bottom"/>
            <w:gridSpan w:val="14"/>
          </w:tcPr>
          <w:p>
            <w:pPr>
              <w:spacing w:after="0"/>
              <w:rPr>
                <w:rFonts w:ascii="Arial" w:cs="Arial" w:eastAsia="Arial" w:hAnsi="Arial"/>
                <w:sz w:val="18"/>
                <w:szCs w:val="18"/>
                <w:color w:val="58585A"/>
              </w:rPr>
            </w:pPr>
            <w:hyperlink w:anchor="page22">
              <w:r>
                <w:rPr>
                  <w:rFonts w:ascii="Arial" w:cs="Arial" w:eastAsia="Arial" w:hAnsi="Arial"/>
                  <w:sz w:val="18"/>
                  <w:szCs w:val="18"/>
                  <w:color w:val="58585A"/>
                </w:rPr>
                <w:t>Audit Committee Financial Expert</w:t>
              </w:r>
            </w:hyperlink>
          </w:p>
        </w:tc>
        <w:tc>
          <w:tcPr>
            <w:tcW w:w="360" w:type="dxa"/>
            <w:vAlign w:val="bottom"/>
          </w:tcPr>
          <w:p>
            <w:pPr>
              <w:jc w:val="right"/>
              <w:spacing w:after="0"/>
              <w:rPr>
                <w:sz w:val="20"/>
                <w:szCs w:val="20"/>
                <w:color w:val="auto"/>
              </w:rPr>
            </w:pPr>
            <w:r>
              <w:rPr>
                <w:rFonts w:ascii="Arial" w:cs="Arial" w:eastAsia="Arial" w:hAnsi="Arial"/>
                <w:sz w:val="18"/>
                <w:szCs w:val="18"/>
                <w:color w:val="58585A"/>
              </w:rPr>
              <w:t>17</w:t>
            </w:r>
          </w:p>
        </w:tc>
      </w:tr>
      <w:tr>
        <w:trPr>
          <w:trHeight w:val="20"/>
        </w:trPr>
        <w:tc>
          <w:tcPr>
            <w:tcW w:w="480" w:type="dxa"/>
            <w:vAlign w:val="bottom"/>
          </w:tcPr>
          <w:p>
            <w:pPr>
              <w:spacing w:after="0" w:line="20" w:lineRule="exact"/>
              <w:rPr>
                <w:sz w:val="1"/>
                <w:szCs w:val="1"/>
                <w:color w:val="auto"/>
              </w:rPr>
            </w:pPr>
          </w:p>
        </w:tc>
        <w:tc>
          <w:tcPr>
            <w:tcW w:w="1940" w:type="dxa"/>
            <w:vAlign w:val="bottom"/>
            <w:gridSpan w:val="6"/>
            <w:shd w:val="clear" w:color="auto" w:fill="58585A"/>
          </w:tcPr>
          <w:p>
            <w:pPr>
              <w:spacing w:after="0" w:line="20" w:lineRule="exact"/>
              <w:rPr>
                <w:sz w:val="1"/>
                <w:szCs w:val="1"/>
                <w:color w:val="auto"/>
              </w:rPr>
            </w:pPr>
          </w:p>
        </w:tc>
        <w:tc>
          <w:tcPr>
            <w:tcW w:w="720" w:type="dxa"/>
            <w:vAlign w:val="bottom"/>
            <w:gridSpan w:val="2"/>
            <w:shd w:val="clear" w:color="auto" w:fill="58585A"/>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260" w:type="dxa"/>
            <w:vAlign w:val="bottom"/>
            <w:tcBorders>
              <w:bottom w:val="single" w:sz="8" w:color="58585A"/>
            </w:tcBorders>
            <w:gridSpan w:val="13"/>
          </w:tcPr>
          <w:p>
            <w:pPr>
              <w:spacing w:after="0"/>
              <w:rPr>
                <w:rFonts w:ascii="Arial" w:cs="Arial" w:eastAsia="Arial" w:hAnsi="Arial"/>
                <w:sz w:val="18"/>
                <w:szCs w:val="18"/>
                <w:color w:val="58585A"/>
                <w:w w:val="99"/>
              </w:rPr>
            </w:pPr>
            <w:hyperlink w:anchor="page22">
              <w:r>
                <w:rPr>
                  <w:rFonts w:ascii="Arial" w:cs="Arial" w:eastAsia="Arial" w:hAnsi="Arial"/>
                  <w:sz w:val="18"/>
                  <w:szCs w:val="18"/>
                  <w:color w:val="58585A"/>
                  <w:w w:val="99"/>
                </w:rPr>
                <w:t>Share Ownership Guidelines and Anti-Hedging Policy</w:t>
              </w:r>
            </w:hyperlink>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58585A"/>
              </w:rPr>
              <w:t>17</w:t>
            </w:r>
          </w:p>
        </w:tc>
      </w:tr>
      <w:tr>
        <w:trPr>
          <w:trHeight w:val="210"/>
        </w:trPr>
        <w:tc>
          <w:tcPr>
            <w:tcW w:w="480" w:type="dxa"/>
            <w:vAlign w:val="bottom"/>
          </w:tcPr>
          <w:p>
            <w:pPr>
              <w:spacing w:after="0"/>
              <w:rPr>
                <w:sz w:val="18"/>
                <w:szCs w:val="18"/>
                <w:color w:val="auto"/>
              </w:rPr>
            </w:pPr>
          </w:p>
        </w:tc>
        <w:tc>
          <w:tcPr>
            <w:tcW w:w="1940" w:type="dxa"/>
            <w:vAlign w:val="bottom"/>
            <w:tcBorders>
              <w:bottom w:val="single" w:sz="8" w:color="58585A"/>
            </w:tcBorders>
            <w:gridSpan w:val="6"/>
          </w:tcPr>
          <w:p>
            <w:pPr>
              <w:spacing w:after="0"/>
              <w:rPr>
                <w:rFonts w:ascii="Arial" w:cs="Arial" w:eastAsia="Arial" w:hAnsi="Arial"/>
                <w:sz w:val="18"/>
                <w:szCs w:val="18"/>
                <w:color w:val="58585A"/>
                <w:w w:val="98"/>
              </w:rPr>
            </w:pPr>
            <w:hyperlink w:anchor="page23">
              <w:r>
                <w:rPr>
                  <w:rFonts w:ascii="Arial" w:cs="Arial" w:eastAsia="Arial" w:hAnsi="Arial"/>
                  <w:sz w:val="18"/>
                  <w:szCs w:val="18"/>
                  <w:color w:val="58585A"/>
                  <w:w w:val="98"/>
                </w:rPr>
                <w:t>Code of Ethical Conduct</w:t>
              </w:r>
            </w:hyperlink>
          </w:p>
        </w:tc>
        <w:tc>
          <w:tcPr>
            <w:tcW w:w="2460" w:type="dxa"/>
            <w:vAlign w:val="bottom"/>
            <w:gridSpan w:val="8"/>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58585A"/>
              </w:rPr>
              <w:t>18</w:t>
            </w:r>
          </w:p>
        </w:tc>
      </w:tr>
      <w:tr>
        <w:trPr>
          <w:trHeight w:val="210"/>
        </w:trPr>
        <w:tc>
          <w:tcPr>
            <w:tcW w:w="480" w:type="dxa"/>
            <w:vAlign w:val="bottom"/>
          </w:tcPr>
          <w:p>
            <w:pPr>
              <w:spacing w:after="0"/>
              <w:rPr>
                <w:sz w:val="18"/>
                <w:szCs w:val="18"/>
                <w:color w:val="auto"/>
              </w:rPr>
            </w:pPr>
          </w:p>
        </w:tc>
        <w:tc>
          <w:tcPr>
            <w:tcW w:w="4400" w:type="dxa"/>
            <w:vAlign w:val="bottom"/>
            <w:gridSpan w:val="14"/>
          </w:tcPr>
          <w:p>
            <w:pPr>
              <w:spacing w:after="0"/>
              <w:rPr>
                <w:rFonts w:ascii="Arial" w:cs="Arial" w:eastAsia="Arial" w:hAnsi="Arial"/>
                <w:sz w:val="18"/>
                <w:szCs w:val="18"/>
                <w:color w:val="58585A"/>
              </w:rPr>
            </w:pPr>
            <w:hyperlink w:anchor="page23">
              <w:r>
                <w:rPr>
                  <w:rFonts w:ascii="Arial" w:cs="Arial" w:eastAsia="Arial" w:hAnsi="Arial"/>
                  <w:sz w:val="18"/>
                  <w:szCs w:val="18"/>
                  <w:color w:val="58585A"/>
                </w:rPr>
                <w:t>Communications with Board of Directors</w:t>
              </w:r>
            </w:hyperlink>
          </w:p>
        </w:tc>
        <w:tc>
          <w:tcPr>
            <w:tcW w:w="360" w:type="dxa"/>
            <w:vAlign w:val="bottom"/>
          </w:tcPr>
          <w:p>
            <w:pPr>
              <w:jc w:val="right"/>
              <w:spacing w:after="0"/>
              <w:rPr>
                <w:sz w:val="20"/>
                <w:szCs w:val="20"/>
                <w:color w:val="auto"/>
              </w:rPr>
            </w:pPr>
            <w:r>
              <w:rPr>
                <w:rFonts w:ascii="Arial" w:cs="Arial" w:eastAsia="Arial" w:hAnsi="Arial"/>
                <w:sz w:val="18"/>
                <w:szCs w:val="18"/>
                <w:color w:val="58585A"/>
              </w:rPr>
              <w:t>18</w:t>
            </w:r>
          </w:p>
        </w:tc>
      </w:tr>
      <w:tr>
        <w:trPr>
          <w:trHeight w:val="209"/>
        </w:trPr>
        <w:tc>
          <w:tcPr>
            <w:tcW w:w="480" w:type="dxa"/>
            <w:vAlign w:val="bottom"/>
          </w:tcPr>
          <w:p>
            <w:pPr>
              <w:spacing w:after="0"/>
              <w:rPr>
                <w:sz w:val="18"/>
                <w:szCs w:val="18"/>
                <w:color w:val="auto"/>
              </w:rPr>
            </w:pPr>
          </w:p>
        </w:tc>
        <w:tc>
          <w:tcPr>
            <w:tcW w:w="2780" w:type="dxa"/>
            <w:vAlign w:val="bottom"/>
            <w:tcBorders>
              <w:top w:val="single" w:sz="8" w:color="58585A"/>
              <w:bottom w:val="single" w:sz="8" w:color="58585A"/>
            </w:tcBorders>
            <w:gridSpan w:val="9"/>
          </w:tcPr>
          <w:p>
            <w:pPr>
              <w:spacing w:after="0"/>
              <w:rPr>
                <w:rFonts w:ascii="Arial" w:cs="Arial" w:eastAsia="Arial" w:hAnsi="Arial"/>
                <w:sz w:val="18"/>
                <w:szCs w:val="18"/>
                <w:color w:val="58585A"/>
                <w:w w:val="99"/>
              </w:rPr>
            </w:pPr>
            <w:hyperlink w:anchor="page23">
              <w:r>
                <w:rPr>
                  <w:rFonts w:ascii="Arial" w:cs="Arial" w:eastAsia="Arial" w:hAnsi="Arial"/>
                  <w:sz w:val="18"/>
                  <w:szCs w:val="18"/>
                  <w:color w:val="58585A"/>
                  <w:w w:val="99"/>
                </w:rPr>
                <w:t>Corporate Governance Information</w:t>
              </w:r>
            </w:hyperlink>
          </w:p>
        </w:tc>
        <w:tc>
          <w:tcPr>
            <w:tcW w:w="420" w:type="dxa"/>
            <w:vAlign w:val="bottom"/>
            <w:tcBorders>
              <w:top w:val="single" w:sz="8" w:color="58585A"/>
            </w:tcBorders>
          </w:tcPr>
          <w:p>
            <w:pPr>
              <w:spacing w:after="0"/>
              <w:rPr>
                <w:sz w:val="18"/>
                <w:szCs w:val="18"/>
                <w:color w:val="auto"/>
              </w:rPr>
            </w:pPr>
          </w:p>
        </w:tc>
        <w:tc>
          <w:tcPr>
            <w:tcW w:w="1200" w:type="dxa"/>
            <w:vAlign w:val="bottom"/>
            <w:gridSpan w:val="4"/>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58585A"/>
              </w:rPr>
              <w:t>18</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Borders>
              <w:bottom w:val="single" w:sz="8" w:color="1278A9"/>
            </w:tcBorders>
            <w:gridSpan w:val="5"/>
          </w:tcPr>
          <w:p>
            <w:pPr>
              <w:spacing w:after="0"/>
              <w:rPr>
                <w:rFonts w:ascii="Arial" w:cs="Arial" w:eastAsia="Arial" w:hAnsi="Arial"/>
                <w:sz w:val="18"/>
                <w:szCs w:val="18"/>
                <w:b w:val="1"/>
                <w:bCs w:val="1"/>
                <w:color w:val="1278A9"/>
                <w:w w:val="99"/>
              </w:rPr>
            </w:pPr>
            <w:hyperlink w:anchor="page24">
              <w:r>
                <w:rPr>
                  <w:rFonts w:ascii="Arial" w:cs="Arial" w:eastAsia="Arial" w:hAnsi="Arial"/>
                  <w:sz w:val="18"/>
                  <w:szCs w:val="18"/>
                  <w:b w:val="1"/>
                  <w:bCs w:val="1"/>
                  <w:color w:val="1278A9"/>
                  <w:w w:val="99"/>
                </w:rPr>
                <w:t>Director Compensation</w:t>
              </w:r>
            </w:hyperlink>
          </w:p>
        </w:tc>
        <w:tc>
          <w:tcPr>
            <w:tcW w:w="2920" w:type="dxa"/>
            <w:vAlign w:val="bottom"/>
            <w:gridSpan w:val="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1278A9"/>
              </w:rPr>
              <w:t>19</w:t>
            </w:r>
          </w:p>
        </w:tc>
        <w:tc>
          <w:tcPr>
            <w:tcW w:w="0" w:type="dxa"/>
            <w:vAlign w:val="bottom"/>
          </w:tcPr>
          <w:p>
            <w:pPr>
              <w:spacing w:after="0"/>
              <w:rPr>
                <w:sz w:val="1"/>
                <w:szCs w:val="1"/>
                <w:color w:val="auto"/>
              </w:rPr>
            </w:pPr>
          </w:p>
        </w:tc>
      </w:tr>
      <w:tr>
        <w:trPr>
          <w:trHeight w:val="385"/>
        </w:trPr>
        <w:tc>
          <w:tcPr>
            <w:tcW w:w="3680" w:type="dxa"/>
            <w:vAlign w:val="bottom"/>
            <w:tcBorders>
              <w:bottom w:val="single" w:sz="8" w:color="1278A9"/>
            </w:tcBorders>
            <w:gridSpan w:val="9"/>
          </w:tcPr>
          <w:p>
            <w:pPr>
              <w:spacing w:after="0"/>
              <w:rPr>
                <w:rFonts w:ascii="Arial" w:cs="Arial" w:eastAsia="Arial" w:hAnsi="Arial"/>
                <w:sz w:val="18"/>
                <w:szCs w:val="18"/>
                <w:b w:val="1"/>
                <w:bCs w:val="1"/>
                <w:color w:val="1278A9"/>
                <w:w w:val="99"/>
              </w:rPr>
            </w:pPr>
            <w:hyperlink w:anchor="page25">
              <w:r>
                <w:rPr>
                  <w:rFonts w:ascii="Arial" w:cs="Arial" w:eastAsia="Arial" w:hAnsi="Arial"/>
                  <w:sz w:val="18"/>
                  <w:szCs w:val="18"/>
                  <w:b w:val="1"/>
                  <w:bCs w:val="1"/>
                  <w:color w:val="1278A9"/>
                  <w:w w:val="99"/>
                </w:rPr>
                <w:t>Transactions with Management and Others</w:t>
              </w:r>
            </w:hyperlink>
          </w:p>
        </w:tc>
        <w:tc>
          <w:tcPr>
            <w:tcW w:w="124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1278A9"/>
              </w:rPr>
              <w:t>20</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3860" w:type="dxa"/>
            <w:vAlign w:val="bottom"/>
            <w:tcBorders>
              <w:bottom w:val="single" w:sz="8" w:color="58585A"/>
            </w:tcBorders>
            <w:gridSpan w:val="10"/>
          </w:tcPr>
          <w:p>
            <w:pPr>
              <w:spacing w:after="0"/>
              <w:rPr>
                <w:rFonts w:ascii="Arial" w:cs="Arial" w:eastAsia="Arial" w:hAnsi="Arial"/>
                <w:sz w:val="18"/>
                <w:szCs w:val="18"/>
                <w:color w:val="58585A"/>
                <w:w w:val="99"/>
              </w:rPr>
            </w:pPr>
            <w:hyperlink w:anchor="page25">
              <w:r>
                <w:rPr>
                  <w:rFonts w:ascii="Arial" w:cs="Arial" w:eastAsia="Arial" w:hAnsi="Arial"/>
                  <w:sz w:val="18"/>
                  <w:szCs w:val="18"/>
                  <w:color w:val="58585A"/>
                  <w:w w:val="99"/>
                </w:rPr>
                <w:t>Policy with Respect to Approval of Related Party</w:t>
              </w:r>
            </w:hyperlink>
          </w:p>
        </w:tc>
        <w:tc>
          <w:tcPr>
            <w:tcW w:w="5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020" w:type="dxa"/>
            <w:vAlign w:val="bottom"/>
            <w:tcBorders>
              <w:bottom w:val="single" w:sz="8" w:color="58585A"/>
            </w:tcBorders>
            <w:gridSpan w:val="2"/>
          </w:tcPr>
          <w:p>
            <w:pPr>
              <w:spacing w:after="0" w:line="182" w:lineRule="exact"/>
              <w:rPr>
                <w:rFonts w:ascii="Arial" w:cs="Arial" w:eastAsia="Arial" w:hAnsi="Arial"/>
                <w:sz w:val="18"/>
                <w:szCs w:val="18"/>
                <w:color w:val="58585A"/>
                <w:w w:val="97"/>
              </w:rPr>
            </w:pPr>
            <w:hyperlink w:anchor="page25">
              <w:r>
                <w:rPr>
                  <w:rFonts w:ascii="Arial" w:cs="Arial" w:eastAsia="Arial" w:hAnsi="Arial"/>
                  <w:sz w:val="18"/>
                  <w:szCs w:val="18"/>
                  <w:color w:val="58585A"/>
                  <w:w w:val="97"/>
                </w:rPr>
                <w:t>Transactions</w:t>
              </w:r>
            </w:hyperlink>
          </w:p>
        </w:tc>
        <w:tc>
          <w:tcPr>
            <w:tcW w:w="3420" w:type="dxa"/>
            <w:vAlign w:val="bottom"/>
            <w:gridSpan w:val="10"/>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58585A"/>
              </w:rPr>
              <w:t>20</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440" w:type="dxa"/>
            <w:vAlign w:val="bottom"/>
            <w:gridSpan w:val="12"/>
          </w:tcPr>
          <w:p>
            <w:pPr>
              <w:spacing w:after="0"/>
              <w:rPr>
                <w:rFonts w:ascii="Arial" w:cs="Arial" w:eastAsia="Arial" w:hAnsi="Arial"/>
                <w:sz w:val="18"/>
                <w:szCs w:val="18"/>
                <w:color w:val="58585A"/>
              </w:rPr>
            </w:pPr>
            <w:hyperlink w:anchor="page25">
              <w:r>
                <w:rPr>
                  <w:rFonts w:ascii="Arial" w:cs="Arial" w:eastAsia="Arial" w:hAnsi="Arial"/>
                  <w:sz w:val="18"/>
                  <w:szCs w:val="18"/>
                  <w:color w:val="58585A"/>
                </w:rPr>
                <w:t>2020 Related Party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58585A"/>
              </w:rPr>
              <w:t>20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40" w:type="dxa"/>
            <w:vAlign w:val="bottom"/>
            <w:shd w:val="clear" w:color="auto" w:fill="58585A"/>
          </w:tcPr>
          <w:p>
            <w:pPr>
              <w:spacing w:after="0" w:line="20" w:lineRule="exact"/>
              <w:rPr>
                <w:sz w:val="1"/>
                <w:szCs w:val="1"/>
                <w:color w:val="auto"/>
              </w:rPr>
            </w:pPr>
          </w:p>
        </w:tc>
        <w:tc>
          <w:tcPr>
            <w:tcW w:w="500" w:type="dxa"/>
            <w:vAlign w:val="bottom"/>
            <w:gridSpan w:val="2"/>
            <w:shd w:val="clear" w:color="auto" w:fill="58585A"/>
          </w:tcPr>
          <w:p>
            <w:pPr>
              <w:spacing w:after="0" w:line="20" w:lineRule="exact"/>
              <w:rPr>
                <w:sz w:val="1"/>
                <w:szCs w:val="1"/>
                <w:color w:val="auto"/>
              </w:rPr>
            </w:pPr>
          </w:p>
        </w:tc>
        <w:tc>
          <w:tcPr>
            <w:tcW w:w="200" w:type="dxa"/>
            <w:vAlign w:val="bottom"/>
            <w:gridSpan w:val="2"/>
            <w:shd w:val="clear" w:color="auto" w:fill="58585A"/>
          </w:tcPr>
          <w:p>
            <w:pPr>
              <w:spacing w:after="0" w:line="20" w:lineRule="exact"/>
              <w:rPr>
                <w:sz w:val="1"/>
                <w:szCs w:val="1"/>
                <w:color w:val="auto"/>
              </w:rPr>
            </w:pPr>
          </w:p>
        </w:tc>
        <w:tc>
          <w:tcPr>
            <w:tcW w:w="240" w:type="dxa"/>
            <w:vAlign w:val="bottom"/>
            <w:shd w:val="clear" w:color="auto" w:fill="58585A"/>
          </w:tcPr>
          <w:p>
            <w:pPr>
              <w:spacing w:after="0" w:line="20" w:lineRule="exact"/>
              <w:rPr>
                <w:sz w:val="1"/>
                <w:szCs w:val="1"/>
                <w:color w:val="auto"/>
              </w:rPr>
            </w:pPr>
          </w:p>
        </w:tc>
        <w:tc>
          <w:tcPr>
            <w:tcW w:w="720" w:type="dxa"/>
            <w:vAlign w:val="bottom"/>
            <w:shd w:val="clear" w:color="auto" w:fill="58585A"/>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20" w:type="dxa"/>
            <w:vAlign w:val="bottom"/>
            <w:gridSpan w:val="13"/>
          </w:tcPr>
          <w:p>
            <w:pPr>
              <w:spacing w:after="0"/>
              <w:rPr>
                <w:rFonts w:ascii="Arial" w:cs="Arial" w:eastAsia="Arial" w:hAnsi="Arial"/>
                <w:sz w:val="18"/>
                <w:szCs w:val="18"/>
                <w:b w:val="1"/>
                <w:bCs w:val="1"/>
                <w:color w:val="1278A9"/>
              </w:rPr>
            </w:pPr>
            <w:hyperlink w:anchor="page26">
              <w:r>
                <w:rPr>
                  <w:rFonts w:ascii="Arial" w:cs="Arial" w:eastAsia="Arial" w:hAnsi="Arial"/>
                  <w:sz w:val="18"/>
                  <w:szCs w:val="18"/>
                  <w:b w:val="1"/>
                  <w:bCs w:val="1"/>
                  <w:color w:val="1278A9"/>
                </w:rPr>
                <w:t>Proposal 2: Amend Restated Articles of Incorporation to</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20" w:type="dxa"/>
            <w:vAlign w:val="bottom"/>
            <w:tcBorders>
              <w:top w:val="single" w:sz="8" w:color="1278A9"/>
            </w:tcBorders>
            <w:gridSpan w:val="12"/>
          </w:tcPr>
          <w:p>
            <w:pPr>
              <w:spacing w:after="0" w:line="182" w:lineRule="exact"/>
              <w:rPr>
                <w:rFonts w:ascii="Arial" w:cs="Arial" w:eastAsia="Arial" w:hAnsi="Arial"/>
                <w:sz w:val="18"/>
                <w:szCs w:val="18"/>
                <w:b w:val="1"/>
                <w:bCs w:val="1"/>
                <w:color w:val="1278A9"/>
              </w:rPr>
            </w:pPr>
            <w:hyperlink w:anchor="page26">
              <w:r>
                <w:rPr>
                  <w:rFonts w:ascii="Arial" w:cs="Arial" w:eastAsia="Arial" w:hAnsi="Arial"/>
                  <w:sz w:val="18"/>
                  <w:szCs w:val="18"/>
                  <w:b w:val="1"/>
                  <w:bCs w:val="1"/>
                  <w:color w:val="1278A9"/>
                </w:rPr>
                <w:t>Increase Number of Authorized Shares of United’s</w:t>
              </w:r>
            </w:hyperlink>
          </w:p>
        </w:tc>
        <w:tc>
          <w:tcPr>
            <w:tcW w:w="10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1278A9"/>
              </w:rPr>
              <w:t>21</w:t>
            </w:r>
          </w:p>
        </w:tc>
        <w:tc>
          <w:tcPr>
            <w:tcW w:w="0" w:type="dxa"/>
            <w:vAlign w:val="bottom"/>
          </w:tcPr>
          <w:p>
            <w:pPr>
              <w:spacing w:after="0"/>
              <w:rPr>
                <w:sz w:val="1"/>
                <w:szCs w:val="1"/>
                <w:color w:val="auto"/>
              </w:rPr>
            </w:pPr>
          </w:p>
        </w:tc>
      </w:tr>
      <w:tr>
        <w:trPr>
          <w:trHeight w:val="183"/>
        </w:trPr>
        <w:tc>
          <w:tcPr>
            <w:tcW w:w="4300" w:type="dxa"/>
            <w:vAlign w:val="bottom"/>
            <w:tcBorders>
              <w:top w:val="single" w:sz="8" w:color="1278A9"/>
            </w:tcBorders>
            <w:gridSpan w:val="10"/>
          </w:tcPr>
          <w:p>
            <w:pPr>
              <w:spacing w:after="0" w:line="182" w:lineRule="exact"/>
              <w:rPr>
                <w:rFonts w:ascii="Arial" w:cs="Arial" w:eastAsia="Arial" w:hAnsi="Arial"/>
                <w:sz w:val="18"/>
                <w:szCs w:val="18"/>
                <w:b w:val="1"/>
                <w:bCs w:val="1"/>
                <w:color w:val="1278A9"/>
              </w:rPr>
            </w:pPr>
            <w:hyperlink w:anchor="page26">
              <w:r>
                <w:rPr>
                  <w:rFonts w:ascii="Arial" w:cs="Arial" w:eastAsia="Arial" w:hAnsi="Arial"/>
                  <w:sz w:val="18"/>
                  <w:szCs w:val="18"/>
                  <w:b w:val="1"/>
                  <w:bCs w:val="1"/>
                  <w:color w:val="1278A9"/>
                </w:rPr>
                <w:t>Voting Common Stock</w:t>
              </w:r>
            </w:hyperlink>
          </w:p>
        </w:tc>
        <w:tc>
          <w:tcPr>
            <w:tcW w:w="620" w:type="dxa"/>
            <w:vAlign w:val="bottom"/>
            <w:gridSpan w:val="3"/>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 w:type="dxa"/>
            <w:vAlign w:val="bottom"/>
            <w:tcBorders>
              <w:top w:val="single" w:sz="8" w:color="1278A9"/>
            </w:tcBorders>
          </w:tcPr>
          <w:p>
            <w:pPr>
              <w:spacing w:after="0"/>
              <w:rPr>
                <w:sz w:val="18"/>
                <w:szCs w:val="18"/>
                <w:color w:val="auto"/>
              </w:rPr>
            </w:pPr>
          </w:p>
        </w:tc>
        <w:tc>
          <w:tcPr>
            <w:tcW w:w="940" w:type="dxa"/>
            <w:vAlign w:val="bottom"/>
            <w:tcBorders>
              <w:top w:val="single" w:sz="8" w:color="1278A9"/>
              <w:bottom w:val="single" w:sz="8" w:color="58585A"/>
            </w:tcBorders>
          </w:tcPr>
          <w:p>
            <w:pPr>
              <w:spacing w:after="0"/>
              <w:rPr>
                <w:rFonts w:ascii="Arial" w:cs="Arial" w:eastAsia="Arial" w:hAnsi="Arial"/>
                <w:sz w:val="18"/>
                <w:szCs w:val="18"/>
                <w:color w:val="58585A"/>
                <w:w w:val="97"/>
              </w:rPr>
            </w:pPr>
            <w:hyperlink w:anchor="page26">
              <w:r>
                <w:rPr>
                  <w:rFonts w:ascii="Arial" w:cs="Arial" w:eastAsia="Arial" w:hAnsi="Arial"/>
                  <w:sz w:val="18"/>
                  <w:szCs w:val="18"/>
                  <w:color w:val="58585A"/>
                  <w:w w:val="97"/>
                </w:rPr>
                <w:t>Introduction</w:t>
              </w:r>
            </w:hyperlink>
          </w:p>
        </w:tc>
        <w:tc>
          <w:tcPr>
            <w:tcW w:w="500" w:type="dxa"/>
            <w:vAlign w:val="bottom"/>
            <w:tcBorders>
              <w:top w:val="single" w:sz="8" w:color="1278A9"/>
            </w:tcBorders>
            <w:gridSpan w:val="2"/>
          </w:tcPr>
          <w:p>
            <w:pPr>
              <w:spacing w:after="0"/>
              <w:rPr>
                <w:sz w:val="18"/>
                <w:szCs w:val="18"/>
                <w:color w:val="auto"/>
              </w:rPr>
            </w:pPr>
          </w:p>
        </w:tc>
        <w:tc>
          <w:tcPr>
            <w:tcW w:w="3000" w:type="dxa"/>
            <w:vAlign w:val="bottom"/>
            <w:gridSpan w:val="9"/>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58585A"/>
              </w:rPr>
              <w:t>21</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1640" w:type="dxa"/>
            <w:vAlign w:val="bottom"/>
            <w:tcBorders>
              <w:bottom w:val="single" w:sz="8" w:color="58585A"/>
            </w:tcBorders>
            <w:gridSpan w:val="5"/>
          </w:tcPr>
          <w:p>
            <w:pPr>
              <w:spacing w:after="0"/>
              <w:rPr>
                <w:rFonts w:ascii="Arial" w:cs="Arial" w:eastAsia="Arial" w:hAnsi="Arial"/>
                <w:sz w:val="18"/>
                <w:szCs w:val="18"/>
                <w:color w:val="58585A"/>
                <w:w w:val="98"/>
              </w:rPr>
            </w:pPr>
            <w:hyperlink w:anchor="page26">
              <w:r>
                <w:rPr>
                  <w:rFonts w:ascii="Arial" w:cs="Arial" w:eastAsia="Arial" w:hAnsi="Arial"/>
                  <w:sz w:val="18"/>
                  <w:szCs w:val="18"/>
                  <w:color w:val="58585A"/>
                  <w:w w:val="98"/>
                </w:rPr>
                <w:t>Form of Amendment</w:t>
              </w:r>
            </w:hyperlink>
          </w:p>
        </w:tc>
        <w:tc>
          <w:tcPr>
            <w:tcW w:w="2800" w:type="dxa"/>
            <w:vAlign w:val="bottom"/>
            <w:gridSpan w:val="7"/>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58585A"/>
              </w:rPr>
              <w:t>21</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440" w:type="dxa"/>
            <w:vAlign w:val="bottom"/>
            <w:gridSpan w:val="12"/>
          </w:tcPr>
          <w:p>
            <w:pPr>
              <w:spacing w:after="0"/>
              <w:rPr>
                <w:rFonts w:ascii="Arial" w:cs="Arial" w:eastAsia="Arial" w:hAnsi="Arial"/>
                <w:sz w:val="18"/>
                <w:szCs w:val="18"/>
                <w:color w:val="58585A"/>
              </w:rPr>
            </w:pPr>
            <w:hyperlink w:anchor="page26">
              <w:r>
                <w:rPr>
                  <w:rFonts w:ascii="Arial" w:cs="Arial" w:eastAsia="Arial" w:hAnsi="Arial"/>
                  <w:sz w:val="18"/>
                  <w:szCs w:val="18"/>
                  <w:color w:val="58585A"/>
                </w:rPr>
                <w:t>Purpose of Amendment</w:t>
              </w:r>
            </w:hyperlink>
          </w:p>
        </w:tc>
        <w:tc>
          <w:tcPr>
            <w:tcW w:w="320" w:type="dxa"/>
            <w:vAlign w:val="bottom"/>
          </w:tcPr>
          <w:p>
            <w:pPr>
              <w:jc w:val="right"/>
              <w:spacing w:after="0"/>
              <w:rPr>
                <w:sz w:val="20"/>
                <w:szCs w:val="20"/>
                <w:color w:val="auto"/>
              </w:rPr>
            </w:pPr>
            <w:r>
              <w:rPr>
                <w:rFonts w:ascii="Arial" w:cs="Arial" w:eastAsia="Arial" w:hAnsi="Arial"/>
                <w:sz w:val="18"/>
                <w:szCs w:val="18"/>
                <w:color w:val="58585A"/>
              </w:rPr>
              <w:t>21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40" w:type="dxa"/>
            <w:vAlign w:val="bottom"/>
            <w:shd w:val="clear" w:color="auto" w:fill="58585A"/>
          </w:tcPr>
          <w:p>
            <w:pPr>
              <w:spacing w:after="0" w:line="20" w:lineRule="exact"/>
              <w:rPr>
                <w:sz w:val="1"/>
                <w:szCs w:val="1"/>
                <w:color w:val="auto"/>
              </w:rPr>
            </w:pPr>
          </w:p>
        </w:tc>
        <w:tc>
          <w:tcPr>
            <w:tcW w:w="80" w:type="dxa"/>
            <w:vAlign w:val="bottom"/>
            <w:shd w:val="clear" w:color="auto" w:fill="58585A"/>
          </w:tcPr>
          <w:p>
            <w:pPr>
              <w:spacing w:after="0" w:line="20" w:lineRule="exact"/>
              <w:rPr>
                <w:sz w:val="1"/>
                <w:szCs w:val="1"/>
                <w:color w:val="auto"/>
              </w:rPr>
            </w:pPr>
          </w:p>
        </w:tc>
        <w:tc>
          <w:tcPr>
            <w:tcW w:w="420" w:type="dxa"/>
            <w:vAlign w:val="bottom"/>
            <w:shd w:val="clear" w:color="auto" w:fill="58585A"/>
          </w:tcPr>
          <w:p>
            <w:pPr>
              <w:spacing w:after="0" w:line="20" w:lineRule="exact"/>
              <w:rPr>
                <w:sz w:val="1"/>
                <w:szCs w:val="1"/>
                <w:color w:val="auto"/>
              </w:rPr>
            </w:pPr>
          </w:p>
        </w:tc>
        <w:tc>
          <w:tcPr>
            <w:tcW w:w="80" w:type="dxa"/>
            <w:vAlign w:val="bottom"/>
            <w:shd w:val="clear" w:color="auto" w:fill="58585A"/>
          </w:tcPr>
          <w:p>
            <w:pPr>
              <w:spacing w:after="0" w:line="20" w:lineRule="exact"/>
              <w:rPr>
                <w:sz w:val="1"/>
                <w:szCs w:val="1"/>
                <w:color w:val="auto"/>
              </w:rPr>
            </w:pPr>
          </w:p>
        </w:tc>
        <w:tc>
          <w:tcPr>
            <w:tcW w:w="120" w:type="dxa"/>
            <w:vAlign w:val="bottom"/>
            <w:shd w:val="clear" w:color="auto" w:fill="58585A"/>
          </w:tcPr>
          <w:p>
            <w:pPr>
              <w:spacing w:after="0" w:line="20" w:lineRule="exact"/>
              <w:rPr>
                <w:sz w:val="1"/>
                <w:szCs w:val="1"/>
                <w:color w:val="auto"/>
              </w:rPr>
            </w:pPr>
          </w:p>
        </w:tc>
        <w:tc>
          <w:tcPr>
            <w:tcW w:w="240" w:type="dxa"/>
            <w:vAlign w:val="bottom"/>
            <w:shd w:val="clear" w:color="auto" w:fill="58585A"/>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440" w:type="dxa"/>
            <w:vAlign w:val="bottom"/>
            <w:gridSpan w:val="31"/>
          </w:tcPr>
          <w:p>
            <w:pPr>
              <w:spacing w:after="0"/>
              <w:rPr>
                <w:rFonts w:ascii="Arial" w:cs="Arial" w:eastAsia="Arial" w:hAnsi="Arial"/>
                <w:sz w:val="18"/>
                <w:szCs w:val="18"/>
                <w:color w:val="58585A"/>
              </w:rPr>
            </w:pPr>
            <w:hyperlink w:anchor="page27">
              <w:r>
                <w:rPr>
                  <w:rFonts w:ascii="Arial" w:cs="Arial" w:eastAsia="Arial" w:hAnsi="Arial"/>
                  <w:sz w:val="18"/>
                  <w:szCs w:val="18"/>
                  <w:color w:val="58585A"/>
                </w:rPr>
                <w:t>Rights of Additional Authorized Shares; No Preemptive</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4340" w:type="dxa"/>
            <w:vAlign w:val="bottom"/>
            <w:tcBorders>
              <w:top w:val="single" w:sz="8" w:color="58585A"/>
            </w:tcBorders>
            <w:gridSpan w:val="30"/>
          </w:tcPr>
          <w:p>
            <w:pPr>
              <w:spacing w:after="0" w:line="182" w:lineRule="exact"/>
              <w:rPr>
                <w:rFonts w:ascii="Arial" w:cs="Arial" w:eastAsia="Arial" w:hAnsi="Arial"/>
                <w:sz w:val="18"/>
                <w:szCs w:val="18"/>
                <w:color w:val="58585A"/>
              </w:rPr>
            </w:pPr>
            <w:hyperlink w:anchor="page27">
              <w:r>
                <w:rPr>
                  <w:rFonts w:ascii="Arial" w:cs="Arial" w:eastAsia="Arial" w:hAnsi="Arial"/>
                  <w:sz w:val="18"/>
                  <w:szCs w:val="18"/>
                  <w:color w:val="58585A"/>
                </w:rPr>
                <w:t>Rights</w:t>
              </w:r>
            </w:hyperlink>
          </w:p>
        </w:tc>
        <w:tc>
          <w:tcPr>
            <w:tcW w:w="100" w:type="dxa"/>
            <w:vAlign w:val="bottom"/>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58585A"/>
              </w:rPr>
              <w:t>22</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480" w:type="dxa"/>
            <w:vAlign w:val="bottom"/>
            <w:shd w:val="clear" w:color="auto" w:fill="58585A"/>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4440" w:type="dxa"/>
            <w:vAlign w:val="bottom"/>
            <w:gridSpan w:val="31"/>
          </w:tcPr>
          <w:p>
            <w:pPr>
              <w:spacing w:after="0"/>
              <w:rPr>
                <w:rFonts w:ascii="Arial" w:cs="Arial" w:eastAsia="Arial" w:hAnsi="Arial"/>
                <w:sz w:val="18"/>
                <w:szCs w:val="18"/>
                <w:color w:val="58585A"/>
              </w:rPr>
            </w:pPr>
            <w:hyperlink w:anchor="page27">
              <w:r>
                <w:rPr>
                  <w:rFonts w:ascii="Arial" w:cs="Arial" w:eastAsia="Arial" w:hAnsi="Arial"/>
                  <w:sz w:val="18"/>
                  <w:szCs w:val="18"/>
                  <w:color w:val="58585A"/>
                </w:rPr>
                <w:t>Potential Adverse Effects of the Amendment</w:t>
              </w:r>
            </w:hyperlink>
          </w:p>
        </w:tc>
        <w:tc>
          <w:tcPr>
            <w:tcW w:w="300" w:type="dxa"/>
            <w:vAlign w:val="bottom"/>
          </w:tcPr>
          <w:p>
            <w:pPr>
              <w:jc w:val="right"/>
              <w:spacing w:after="0"/>
              <w:rPr>
                <w:sz w:val="20"/>
                <w:szCs w:val="20"/>
                <w:color w:val="auto"/>
              </w:rPr>
            </w:pPr>
            <w:r>
              <w:rPr>
                <w:rFonts w:ascii="Arial" w:cs="Arial" w:eastAsia="Arial" w:hAnsi="Arial"/>
                <w:sz w:val="18"/>
                <w:szCs w:val="18"/>
                <w:color w:val="58585A"/>
              </w:rPr>
              <w:t>22</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560" w:type="dxa"/>
            <w:vAlign w:val="bottom"/>
            <w:gridSpan w:val="2"/>
            <w:shd w:val="clear" w:color="auto" w:fill="58585A"/>
          </w:tcPr>
          <w:p>
            <w:pPr>
              <w:spacing w:after="0" w:line="20" w:lineRule="exact"/>
              <w:rPr>
                <w:sz w:val="1"/>
                <w:szCs w:val="1"/>
                <w:color w:val="auto"/>
              </w:rPr>
            </w:pPr>
          </w:p>
        </w:tc>
        <w:tc>
          <w:tcPr>
            <w:tcW w:w="100" w:type="dxa"/>
            <w:vAlign w:val="bottom"/>
            <w:shd w:val="clear" w:color="auto" w:fill="58585A"/>
          </w:tcPr>
          <w:p>
            <w:pPr>
              <w:spacing w:after="0" w:line="20" w:lineRule="exact"/>
              <w:rPr>
                <w:sz w:val="1"/>
                <w:szCs w:val="1"/>
                <w:color w:val="auto"/>
              </w:rPr>
            </w:pPr>
          </w:p>
        </w:tc>
        <w:tc>
          <w:tcPr>
            <w:tcW w:w="300" w:type="dxa"/>
            <w:vAlign w:val="bottom"/>
            <w:shd w:val="clear" w:color="auto" w:fill="58585A"/>
          </w:tcPr>
          <w:p>
            <w:pPr>
              <w:spacing w:after="0" w:line="20" w:lineRule="exact"/>
              <w:rPr>
                <w:sz w:val="1"/>
                <w:szCs w:val="1"/>
                <w:color w:val="auto"/>
              </w:rPr>
            </w:pPr>
          </w:p>
        </w:tc>
        <w:tc>
          <w:tcPr>
            <w:tcW w:w="80" w:type="dxa"/>
            <w:vAlign w:val="bottom"/>
            <w:tcBorders>
              <w:left w:val="single" w:sz="8" w:color="58585A"/>
            </w:tcBorders>
            <w:shd w:val="clear" w:color="auto" w:fill="58585A"/>
          </w:tcPr>
          <w:p>
            <w:pPr>
              <w:spacing w:after="0" w:line="20" w:lineRule="exact"/>
              <w:rPr>
                <w:sz w:val="1"/>
                <w:szCs w:val="1"/>
                <w:color w:val="auto"/>
              </w:rPr>
            </w:pPr>
          </w:p>
        </w:tc>
        <w:tc>
          <w:tcPr>
            <w:tcW w:w="160" w:type="dxa"/>
            <w:vAlign w:val="bottom"/>
            <w:shd w:val="clear" w:color="auto" w:fill="58585A"/>
          </w:tcPr>
          <w:p>
            <w:pPr>
              <w:spacing w:after="0" w:line="20" w:lineRule="exact"/>
              <w:rPr>
                <w:sz w:val="1"/>
                <w:szCs w:val="1"/>
                <w:color w:val="auto"/>
              </w:rPr>
            </w:pPr>
          </w:p>
        </w:tc>
        <w:tc>
          <w:tcPr>
            <w:tcW w:w="120" w:type="dxa"/>
            <w:vAlign w:val="bottom"/>
            <w:shd w:val="clear" w:color="auto" w:fill="58585A"/>
          </w:tcPr>
          <w:p>
            <w:pPr>
              <w:spacing w:after="0" w:line="20" w:lineRule="exact"/>
              <w:rPr>
                <w:sz w:val="1"/>
                <w:szCs w:val="1"/>
                <w:color w:val="auto"/>
              </w:rPr>
            </w:pPr>
          </w:p>
        </w:tc>
        <w:tc>
          <w:tcPr>
            <w:tcW w:w="60" w:type="dxa"/>
            <w:vAlign w:val="bottom"/>
            <w:tcBorders>
              <w:right w:val="single" w:sz="8" w:color="58585A"/>
            </w:tcBorders>
            <w:shd w:val="clear" w:color="auto" w:fill="58585A"/>
          </w:tcPr>
          <w:p>
            <w:pPr>
              <w:spacing w:after="0" w:line="20" w:lineRule="exact"/>
              <w:rPr>
                <w:sz w:val="1"/>
                <w:szCs w:val="1"/>
                <w:color w:val="auto"/>
              </w:rPr>
            </w:pPr>
          </w:p>
        </w:tc>
        <w:tc>
          <w:tcPr>
            <w:tcW w:w="260" w:type="dxa"/>
            <w:vAlign w:val="bottom"/>
            <w:tcBorders>
              <w:right w:val="single" w:sz="8" w:color="58585A"/>
            </w:tcBorders>
            <w:shd w:val="clear" w:color="auto" w:fill="58585A"/>
          </w:tcPr>
          <w:p>
            <w:pPr>
              <w:spacing w:after="0" w:line="20" w:lineRule="exact"/>
              <w:rPr>
                <w:sz w:val="1"/>
                <w:szCs w:val="1"/>
                <w:color w:val="auto"/>
              </w:rPr>
            </w:pPr>
          </w:p>
        </w:tc>
        <w:tc>
          <w:tcPr>
            <w:tcW w:w="20" w:type="dxa"/>
            <w:vAlign w:val="bottom"/>
            <w:shd w:val="clear" w:color="auto" w:fill="58585A"/>
          </w:tcPr>
          <w:p>
            <w:pPr>
              <w:spacing w:after="0" w:line="20" w:lineRule="exact"/>
              <w:rPr>
                <w:sz w:val="1"/>
                <w:szCs w:val="1"/>
                <w:color w:val="auto"/>
              </w:rPr>
            </w:pPr>
          </w:p>
        </w:tc>
        <w:tc>
          <w:tcPr>
            <w:tcW w:w="140" w:type="dxa"/>
            <w:vAlign w:val="bottom"/>
            <w:shd w:val="clear" w:color="auto" w:fill="58585A"/>
          </w:tcPr>
          <w:p>
            <w:pPr>
              <w:spacing w:after="0" w:line="20" w:lineRule="exact"/>
              <w:rPr>
                <w:sz w:val="1"/>
                <w:szCs w:val="1"/>
                <w:color w:val="auto"/>
              </w:rPr>
            </w:pPr>
          </w:p>
        </w:tc>
        <w:tc>
          <w:tcPr>
            <w:tcW w:w="460" w:type="dxa"/>
            <w:vAlign w:val="bottom"/>
            <w:shd w:val="clear" w:color="auto" w:fill="58585A"/>
          </w:tcPr>
          <w:p>
            <w:pPr>
              <w:spacing w:after="0" w:line="20" w:lineRule="exact"/>
              <w:rPr>
                <w:sz w:val="1"/>
                <w:szCs w:val="1"/>
                <w:color w:val="auto"/>
              </w:rPr>
            </w:pPr>
          </w:p>
        </w:tc>
        <w:tc>
          <w:tcPr>
            <w:tcW w:w="180" w:type="dxa"/>
            <w:vAlign w:val="bottom"/>
            <w:shd w:val="clear" w:color="auto" w:fill="58585A"/>
          </w:tcPr>
          <w:p>
            <w:pPr>
              <w:spacing w:after="0" w:line="20" w:lineRule="exact"/>
              <w:rPr>
                <w:sz w:val="1"/>
                <w:szCs w:val="1"/>
                <w:color w:val="auto"/>
              </w:rPr>
            </w:pPr>
          </w:p>
        </w:tc>
        <w:tc>
          <w:tcPr>
            <w:tcW w:w="60" w:type="dxa"/>
            <w:vAlign w:val="bottom"/>
            <w:shd w:val="clear" w:color="auto" w:fill="58585A"/>
          </w:tcPr>
          <w:p>
            <w:pPr>
              <w:spacing w:after="0" w:line="20" w:lineRule="exact"/>
              <w:rPr>
                <w:sz w:val="1"/>
                <w:szCs w:val="1"/>
                <w:color w:val="auto"/>
              </w:rPr>
            </w:pPr>
          </w:p>
        </w:tc>
        <w:tc>
          <w:tcPr>
            <w:tcW w:w="280" w:type="dxa"/>
            <w:vAlign w:val="bottom"/>
            <w:shd w:val="clear" w:color="auto" w:fill="58585A"/>
          </w:tcPr>
          <w:p>
            <w:pPr>
              <w:spacing w:after="0" w:line="20" w:lineRule="exact"/>
              <w:rPr>
                <w:sz w:val="1"/>
                <w:szCs w:val="1"/>
                <w:color w:val="auto"/>
              </w:rPr>
            </w:pPr>
          </w:p>
        </w:tc>
        <w:tc>
          <w:tcPr>
            <w:tcW w:w="60" w:type="dxa"/>
            <w:vAlign w:val="bottom"/>
            <w:shd w:val="clear" w:color="auto" w:fill="58585A"/>
          </w:tcPr>
          <w:p>
            <w:pPr>
              <w:spacing w:after="0" w:line="20" w:lineRule="exact"/>
              <w:rPr>
                <w:sz w:val="1"/>
                <w:szCs w:val="1"/>
                <w:color w:val="auto"/>
              </w:rPr>
            </w:pPr>
          </w:p>
        </w:tc>
        <w:tc>
          <w:tcPr>
            <w:tcW w:w="140" w:type="dxa"/>
            <w:vAlign w:val="bottom"/>
            <w:shd w:val="clear" w:color="auto" w:fill="58585A"/>
          </w:tcPr>
          <w:p>
            <w:pPr>
              <w:spacing w:after="0" w:line="20" w:lineRule="exact"/>
              <w:rPr>
                <w:sz w:val="1"/>
                <w:szCs w:val="1"/>
                <w:color w:val="auto"/>
              </w:rPr>
            </w:pPr>
          </w:p>
        </w:tc>
        <w:tc>
          <w:tcPr>
            <w:tcW w:w="60" w:type="dxa"/>
            <w:vAlign w:val="bottom"/>
            <w:shd w:val="clear" w:color="auto" w:fill="58585A"/>
          </w:tcPr>
          <w:p>
            <w:pPr>
              <w:spacing w:after="0" w:line="20" w:lineRule="exact"/>
              <w:rPr>
                <w:sz w:val="1"/>
                <w:szCs w:val="1"/>
                <w:color w:val="auto"/>
              </w:rPr>
            </w:pPr>
          </w:p>
        </w:tc>
        <w:tc>
          <w:tcPr>
            <w:tcW w:w="80" w:type="dxa"/>
            <w:vAlign w:val="bottom"/>
            <w:shd w:val="clear" w:color="auto" w:fill="58585A"/>
          </w:tcPr>
          <w:p>
            <w:pPr>
              <w:spacing w:after="0" w:line="20" w:lineRule="exact"/>
              <w:rPr>
                <w:sz w:val="1"/>
                <w:szCs w:val="1"/>
                <w:color w:val="auto"/>
              </w:rPr>
            </w:pPr>
          </w:p>
        </w:tc>
        <w:tc>
          <w:tcPr>
            <w:tcW w:w="140" w:type="dxa"/>
            <w:vAlign w:val="bottom"/>
            <w:shd w:val="clear" w:color="auto" w:fill="58585A"/>
          </w:tcPr>
          <w:p>
            <w:pPr>
              <w:spacing w:after="0" w:line="20" w:lineRule="exact"/>
              <w:rPr>
                <w:sz w:val="1"/>
                <w:szCs w:val="1"/>
                <w:color w:val="auto"/>
              </w:rPr>
            </w:pPr>
          </w:p>
        </w:tc>
        <w:tc>
          <w:tcPr>
            <w:tcW w:w="100" w:type="dxa"/>
            <w:vAlign w:val="bottom"/>
            <w:shd w:val="clear" w:color="auto" w:fill="58585A"/>
          </w:tcPr>
          <w:p>
            <w:pPr>
              <w:spacing w:after="0" w:line="20" w:lineRule="exact"/>
              <w:rPr>
                <w:sz w:val="1"/>
                <w:szCs w:val="1"/>
                <w:color w:val="auto"/>
              </w:rPr>
            </w:pPr>
          </w:p>
        </w:tc>
        <w:tc>
          <w:tcPr>
            <w:tcW w:w="140" w:type="dxa"/>
            <w:vAlign w:val="bottom"/>
            <w:shd w:val="clear" w:color="auto" w:fill="58585A"/>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4440" w:type="dxa"/>
            <w:vAlign w:val="bottom"/>
            <w:gridSpan w:val="31"/>
          </w:tcPr>
          <w:p>
            <w:pPr>
              <w:spacing w:after="0"/>
              <w:rPr>
                <w:rFonts w:ascii="Arial" w:cs="Arial" w:eastAsia="Arial" w:hAnsi="Arial"/>
                <w:sz w:val="18"/>
                <w:szCs w:val="18"/>
                <w:color w:val="58585A"/>
              </w:rPr>
            </w:pPr>
            <w:hyperlink w:anchor="page27">
              <w:r>
                <w:rPr>
                  <w:rFonts w:ascii="Arial" w:cs="Arial" w:eastAsia="Arial" w:hAnsi="Arial"/>
                  <w:sz w:val="18"/>
                  <w:szCs w:val="18"/>
                  <w:color w:val="58585A"/>
                </w:rPr>
                <w:t>Effectiveness of the Amendment and Vote Required</w:t>
              </w:r>
            </w:hyperlink>
          </w:p>
        </w:tc>
        <w:tc>
          <w:tcPr>
            <w:tcW w:w="300" w:type="dxa"/>
            <w:vAlign w:val="bottom"/>
          </w:tcPr>
          <w:p>
            <w:pPr>
              <w:jc w:val="right"/>
              <w:spacing w:after="0"/>
              <w:rPr>
                <w:sz w:val="20"/>
                <w:szCs w:val="20"/>
                <w:color w:val="auto"/>
              </w:rPr>
            </w:pPr>
            <w:r>
              <w:rPr>
                <w:rFonts w:ascii="Arial" w:cs="Arial" w:eastAsia="Arial" w:hAnsi="Arial"/>
                <w:sz w:val="18"/>
                <w:szCs w:val="18"/>
                <w:color w:val="58585A"/>
              </w:rPr>
              <w:t>22</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560" w:type="dxa"/>
            <w:vAlign w:val="bottom"/>
            <w:gridSpan w:val="2"/>
            <w:shd w:val="clear" w:color="auto" w:fill="58585A"/>
          </w:tcPr>
          <w:p>
            <w:pPr>
              <w:spacing w:after="0" w:line="20" w:lineRule="exact"/>
              <w:rPr>
                <w:sz w:val="1"/>
                <w:szCs w:val="1"/>
                <w:color w:val="auto"/>
              </w:rPr>
            </w:pPr>
          </w:p>
        </w:tc>
        <w:tc>
          <w:tcPr>
            <w:tcW w:w="100" w:type="dxa"/>
            <w:vAlign w:val="bottom"/>
            <w:shd w:val="clear" w:color="auto" w:fill="58585A"/>
          </w:tcPr>
          <w:p>
            <w:pPr>
              <w:spacing w:after="0" w:line="20" w:lineRule="exact"/>
              <w:rPr>
                <w:sz w:val="1"/>
                <w:szCs w:val="1"/>
                <w:color w:val="auto"/>
              </w:rPr>
            </w:pPr>
          </w:p>
        </w:tc>
        <w:tc>
          <w:tcPr>
            <w:tcW w:w="300" w:type="dxa"/>
            <w:vAlign w:val="bottom"/>
            <w:shd w:val="clear" w:color="auto" w:fill="58585A"/>
          </w:tcPr>
          <w:p>
            <w:pPr>
              <w:spacing w:after="0" w:line="20" w:lineRule="exact"/>
              <w:rPr>
                <w:sz w:val="1"/>
                <w:szCs w:val="1"/>
                <w:color w:val="auto"/>
              </w:rPr>
            </w:pPr>
          </w:p>
        </w:tc>
        <w:tc>
          <w:tcPr>
            <w:tcW w:w="80" w:type="dxa"/>
            <w:vAlign w:val="bottom"/>
            <w:tcBorders>
              <w:left w:val="single" w:sz="8" w:color="58585A"/>
            </w:tcBorders>
            <w:shd w:val="clear" w:color="auto" w:fill="58585A"/>
          </w:tcPr>
          <w:p>
            <w:pPr>
              <w:spacing w:after="0" w:line="20" w:lineRule="exact"/>
              <w:rPr>
                <w:sz w:val="1"/>
                <w:szCs w:val="1"/>
                <w:color w:val="auto"/>
              </w:rPr>
            </w:pPr>
          </w:p>
        </w:tc>
        <w:tc>
          <w:tcPr>
            <w:tcW w:w="160" w:type="dxa"/>
            <w:vAlign w:val="bottom"/>
            <w:shd w:val="clear" w:color="auto" w:fill="58585A"/>
          </w:tcPr>
          <w:p>
            <w:pPr>
              <w:spacing w:after="0" w:line="20" w:lineRule="exact"/>
              <w:rPr>
                <w:sz w:val="1"/>
                <w:szCs w:val="1"/>
                <w:color w:val="auto"/>
              </w:rPr>
            </w:pPr>
          </w:p>
        </w:tc>
        <w:tc>
          <w:tcPr>
            <w:tcW w:w="120" w:type="dxa"/>
            <w:vAlign w:val="bottom"/>
            <w:shd w:val="clear" w:color="auto" w:fill="58585A"/>
          </w:tcPr>
          <w:p>
            <w:pPr>
              <w:spacing w:after="0" w:line="20" w:lineRule="exact"/>
              <w:rPr>
                <w:sz w:val="1"/>
                <w:szCs w:val="1"/>
                <w:color w:val="auto"/>
              </w:rPr>
            </w:pPr>
          </w:p>
        </w:tc>
        <w:tc>
          <w:tcPr>
            <w:tcW w:w="60" w:type="dxa"/>
            <w:vAlign w:val="bottom"/>
            <w:tcBorders>
              <w:right w:val="single" w:sz="8" w:color="58585A"/>
            </w:tcBorders>
            <w:shd w:val="clear" w:color="auto" w:fill="58585A"/>
          </w:tcPr>
          <w:p>
            <w:pPr>
              <w:spacing w:after="0" w:line="20" w:lineRule="exact"/>
              <w:rPr>
                <w:sz w:val="1"/>
                <w:szCs w:val="1"/>
                <w:color w:val="auto"/>
              </w:rPr>
            </w:pPr>
          </w:p>
        </w:tc>
        <w:tc>
          <w:tcPr>
            <w:tcW w:w="260" w:type="dxa"/>
            <w:vAlign w:val="bottom"/>
            <w:tcBorders>
              <w:right w:val="single" w:sz="8" w:color="58585A"/>
            </w:tcBorders>
            <w:shd w:val="clear" w:color="auto" w:fill="58585A"/>
          </w:tcPr>
          <w:p>
            <w:pPr>
              <w:spacing w:after="0" w:line="20" w:lineRule="exact"/>
              <w:rPr>
                <w:sz w:val="1"/>
                <w:szCs w:val="1"/>
                <w:color w:val="auto"/>
              </w:rPr>
            </w:pPr>
          </w:p>
        </w:tc>
        <w:tc>
          <w:tcPr>
            <w:tcW w:w="20" w:type="dxa"/>
            <w:vAlign w:val="bottom"/>
            <w:shd w:val="clear" w:color="auto" w:fill="58585A"/>
          </w:tcPr>
          <w:p>
            <w:pPr>
              <w:spacing w:after="0" w:line="20" w:lineRule="exact"/>
              <w:rPr>
                <w:sz w:val="1"/>
                <w:szCs w:val="1"/>
                <w:color w:val="auto"/>
              </w:rPr>
            </w:pPr>
          </w:p>
        </w:tc>
        <w:tc>
          <w:tcPr>
            <w:tcW w:w="140" w:type="dxa"/>
            <w:vAlign w:val="bottom"/>
            <w:shd w:val="clear" w:color="auto" w:fill="58585A"/>
          </w:tcPr>
          <w:p>
            <w:pPr>
              <w:spacing w:after="0" w:line="20" w:lineRule="exact"/>
              <w:rPr>
                <w:sz w:val="1"/>
                <w:szCs w:val="1"/>
                <w:color w:val="auto"/>
              </w:rPr>
            </w:pPr>
          </w:p>
        </w:tc>
        <w:tc>
          <w:tcPr>
            <w:tcW w:w="460" w:type="dxa"/>
            <w:vAlign w:val="bottom"/>
            <w:shd w:val="clear" w:color="auto" w:fill="58585A"/>
          </w:tcPr>
          <w:p>
            <w:pPr>
              <w:spacing w:after="0" w:line="20" w:lineRule="exact"/>
              <w:rPr>
                <w:sz w:val="1"/>
                <w:szCs w:val="1"/>
                <w:color w:val="auto"/>
              </w:rPr>
            </w:pPr>
          </w:p>
        </w:tc>
        <w:tc>
          <w:tcPr>
            <w:tcW w:w="180" w:type="dxa"/>
            <w:vAlign w:val="bottom"/>
            <w:shd w:val="clear" w:color="auto" w:fill="58585A"/>
          </w:tcPr>
          <w:p>
            <w:pPr>
              <w:spacing w:after="0" w:line="20" w:lineRule="exact"/>
              <w:rPr>
                <w:sz w:val="1"/>
                <w:szCs w:val="1"/>
                <w:color w:val="auto"/>
              </w:rPr>
            </w:pPr>
          </w:p>
        </w:tc>
        <w:tc>
          <w:tcPr>
            <w:tcW w:w="60" w:type="dxa"/>
            <w:vAlign w:val="bottom"/>
            <w:shd w:val="clear" w:color="auto" w:fill="58585A"/>
          </w:tcPr>
          <w:p>
            <w:pPr>
              <w:spacing w:after="0" w:line="20" w:lineRule="exact"/>
              <w:rPr>
                <w:sz w:val="1"/>
                <w:szCs w:val="1"/>
                <w:color w:val="auto"/>
              </w:rPr>
            </w:pPr>
          </w:p>
        </w:tc>
        <w:tc>
          <w:tcPr>
            <w:tcW w:w="280" w:type="dxa"/>
            <w:vAlign w:val="bottom"/>
            <w:shd w:val="clear" w:color="auto" w:fill="58585A"/>
          </w:tcPr>
          <w:p>
            <w:pPr>
              <w:spacing w:after="0" w:line="20" w:lineRule="exact"/>
              <w:rPr>
                <w:sz w:val="1"/>
                <w:szCs w:val="1"/>
                <w:color w:val="auto"/>
              </w:rPr>
            </w:pPr>
          </w:p>
        </w:tc>
        <w:tc>
          <w:tcPr>
            <w:tcW w:w="60" w:type="dxa"/>
            <w:vAlign w:val="bottom"/>
            <w:shd w:val="clear" w:color="auto" w:fill="58585A"/>
          </w:tcPr>
          <w:p>
            <w:pPr>
              <w:spacing w:after="0" w:line="20" w:lineRule="exact"/>
              <w:rPr>
                <w:sz w:val="1"/>
                <w:szCs w:val="1"/>
                <w:color w:val="auto"/>
              </w:rPr>
            </w:pPr>
          </w:p>
        </w:tc>
        <w:tc>
          <w:tcPr>
            <w:tcW w:w="140" w:type="dxa"/>
            <w:vAlign w:val="bottom"/>
            <w:shd w:val="clear" w:color="auto" w:fill="58585A"/>
          </w:tcPr>
          <w:p>
            <w:pPr>
              <w:spacing w:after="0" w:line="20" w:lineRule="exact"/>
              <w:rPr>
                <w:sz w:val="1"/>
                <w:szCs w:val="1"/>
                <w:color w:val="auto"/>
              </w:rPr>
            </w:pPr>
          </w:p>
        </w:tc>
        <w:tc>
          <w:tcPr>
            <w:tcW w:w="60" w:type="dxa"/>
            <w:vAlign w:val="bottom"/>
            <w:shd w:val="clear" w:color="auto" w:fill="58585A"/>
          </w:tcPr>
          <w:p>
            <w:pPr>
              <w:spacing w:after="0" w:line="20" w:lineRule="exact"/>
              <w:rPr>
                <w:sz w:val="1"/>
                <w:szCs w:val="1"/>
                <w:color w:val="auto"/>
              </w:rPr>
            </w:pPr>
          </w:p>
        </w:tc>
        <w:tc>
          <w:tcPr>
            <w:tcW w:w="80" w:type="dxa"/>
            <w:vAlign w:val="bottom"/>
            <w:shd w:val="clear" w:color="auto" w:fill="58585A"/>
          </w:tcPr>
          <w:p>
            <w:pPr>
              <w:spacing w:after="0" w:line="20" w:lineRule="exact"/>
              <w:rPr>
                <w:sz w:val="1"/>
                <w:szCs w:val="1"/>
                <w:color w:val="auto"/>
              </w:rPr>
            </w:pPr>
          </w:p>
        </w:tc>
        <w:tc>
          <w:tcPr>
            <w:tcW w:w="140" w:type="dxa"/>
            <w:vAlign w:val="bottom"/>
            <w:shd w:val="clear" w:color="auto" w:fill="58585A"/>
          </w:tcPr>
          <w:p>
            <w:pPr>
              <w:spacing w:after="0" w:line="20" w:lineRule="exact"/>
              <w:rPr>
                <w:sz w:val="1"/>
                <w:szCs w:val="1"/>
                <w:color w:val="auto"/>
              </w:rPr>
            </w:pPr>
          </w:p>
        </w:tc>
        <w:tc>
          <w:tcPr>
            <w:tcW w:w="100" w:type="dxa"/>
            <w:vAlign w:val="bottom"/>
            <w:shd w:val="clear" w:color="auto" w:fill="58585A"/>
          </w:tcPr>
          <w:p>
            <w:pPr>
              <w:spacing w:after="0" w:line="20" w:lineRule="exact"/>
              <w:rPr>
                <w:sz w:val="1"/>
                <w:szCs w:val="1"/>
                <w:color w:val="auto"/>
              </w:rPr>
            </w:pPr>
          </w:p>
        </w:tc>
        <w:tc>
          <w:tcPr>
            <w:tcW w:w="300" w:type="dxa"/>
            <w:vAlign w:val="bottom"/>
            <w:gridSpan w:val="2"/>
            <w:shd w:val="clear" w:color="auto" w:fill="58585A"/>
          </w:tcPr>
          <w:p>
            <w:pPr>
              <w:spacing w:after="0" w:line="20" w:lineRule="exact"/>
              <w:rPr>
                <w:sz w:val="1"/>
                <w:szCs w:val="1"/>
                <w:color w:val="auto"/>
              </w:rPr>
            </w:pPr>
          </w:p>
        </w:tc>
        <w:tc>
          <w:tcPr>
            <w:tcW w:w="160" w:type="dxa"/>
            <w:vAlign w:val="bottom"/>
            <w:shd w:val="clear" w:color="auto" w:fill="58585A"/>
          </w:tcPr>
          <w:p>
            <w:pPr>
              <w:spacing w:after="0" w:line="20" w:lineRule="exact"/>
              <w:rPr>
                <w:sz w:val="1"/>
                <w:szCs w:val="1"/>
                <w:color w:val="auto"/>
              </w:rPr>
            </w:pPr>
          </w:p>
        </w:tc>
        <w:tc>
          <w:tcPr>
            <w:tcW w:w="100" w:type="dxa"/>
            <w:vAlign w:val="bottom"/>
            <w:shd w:val="clear" w:color="auto" w:fill="58585A"/>
          </w:tcPr>
          <w:p>
            <w:pPr>
              <w:spacing w:after="0" w:line="20" w:lineRule="exact"/>
              <w:rPr>
                <w:sz w:val="1"/>
                <w:szCs w:val="1"/>
                <w:color w:val="auto"/>
              </w:rPr>
            </w:pPr>
          </w:p>
        </w:tc>
        <w:tc>
          <w:tcPr>
            <w:tcW w:w="20" w:type="dxa"/>
            <w:vAlign w:val="bottom"/>
            <w:shd w:val="clear" w:color="auto" w:fill="58585A"/>
          </w:tcPr>
          <w:p>
            <w:pPr>
              <w:spacing w:after="0" w:line="20" w:lineRule="exact"/>
              <w:rPr>
                <w:sz w:val="1"/>
                <w:szCs w:val="1"/>
                <w:color w:val="auto"/>
              </w:rPr>
            </w:pPr>
          </w:p>
        </w:tc>
        <w:tc>
          <w:tcPr>
            <w:tcW w:w="160" w:type="dxa"/>
            <w:vAlign w:val="bottom"/>
            <w:shd w:val="clear" w:color="auto" w:fill="58585A"/>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40" w:type="dxa"/>
            <w:vAlign w:val="bottom"/>
            <w:gridSpan w:val="32"/>
          </w:tcPr>
          <w:p>
            <w:pPr>
              <w:spacing w:after="0"/>
              <w:rPr>
                <w:rFonts w:ascii="Arial" w:cs="Arial" w:eastAsia="Arial" w:hAnsi="Arial"/>
                <w:sz w:val="18"/>
                <w:szCs w:val="18"/>
                <w:b w:val="1"/>
                <w:bCs w:val="1"/>
                <w:color w:val="1278A9"/>
              </w:rPr>
            </w:pPr>
            <w:hyperlink w:anchor="page28">
              <w:r>
                <w:rPr>
                  <w:rFonts w:ascii="Arial" w:cs="Arial" w:eastAsia="Arial" w:hAnsi="Arial"/>
                  <w:sz w:val="18"/>
                  <w:szCs w:val="18"/>
                  <w:b w:val="1"/>
                  <w:bCs w:val="1"/>
                  <w:color w:val="1278A9"/>
                </w:rPr>
                <w:t>Proposal 3: Advisory Vote to Approve Named Executive</w:t>
              </w:r>
            </w:hyperlink>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1278A9"/>
              </w:rPr>
              <w:t>23</w:t>
            </w:r>
          </w:p>
        </w:tc>
        <w:tc>
          <w:tcPr>
            <w:tcW w:w="0" w:type="dxa"/>
            <w:vAlign w:val="bottom"/>
          </w:tcPr>
          <w:p>
            <w:pPr>
              <w:spacing w:after="0"/>
              <w:rPr>
                <w:sz w:val="1"/>
                <w:szCs w:val="1"/>
                <w:color w:val="auto"/>
              </w:rPr>
            </w:pPr>
          </w:p>
        </w:tc>
      </w:tr>
      <w:tr>
        <w:trPr>
          <w:trHeight w:val="183"/>
        </w:trPr>
        <w:tc>
          <w:tcPr>
            <w:tcW w:w="4780" w:type="dxa"/>
            <w:vAlign w:val="bottom"/>
            <w:tcBorders>
              <w:top w:val="single" w:sz="8" w:color="1278A9"/>
            </w:tcBorders>
            <w:gridSpan w:val="30"/>
          </w:tcPr>
          <w:p>
            <w:pPr>
              <w:spacing w:after="0" w:line="182" w:lineRule="exact"/>
              <w:rPr>
                <w:rFonts w:ascii="Arial" w:cs="Arial" w:eastAsia="Arial" w:hAnsi="Arial"/>
                <w:sz w:val="18"/>
                <w:szCs w:val="18"/>
                <w:b w:val="1"/>
                <w:bCs w:val="1"/>
                <w:color w:val="1278A9"/>
              </w:rPr>
            </w:pPr>
            <w:hyperlink w:anchor="page28">
              <w:r>
                <w:rPr>
                  <w:rFonts w:ascii="Arial" w:cs="Arial" w:eastAsia="Arial" w:hAnsi="Arial"/>
                  <w:sz w:val="18"/>
                  <w:szCs w:val="18"/>
                  <w:b w:val="1"/>
                  <w:bCs w:val="1"/>
                  <w:color w:val="1278A9"/>
                </w:rPr>
                <w:t>Officer Compensation</w:t>
              </w:r>
            </w:hyperlink>
          </w:p>
        </w:tc>
        <w:tc>
          <w:tcPr>
            <w:tcW w:w="160" w:type="dxa"/>
            <w:vAlign w:val="bottom"/>
            <w:gridSpan w:val="2"/>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1278A9"/>
            </w:tcBorders>
            <w:shd w:val="clear" w:color="auto" w:fill="1278A9"/>
          </w:tcPr>
          <w:p>
            <w:pPr>
              <w:spacing w:after="0" w:line="20" w:lineRule="exact"/>
              <w:rPr>
                <w:sz w:val="1"/>
                <w:szCs w:val="1"/>
                <w:color w:val="auto"/>
              </w:rPr>
            </w:pPr>
          </w:p>
        </w:tc>
        <w:tc>
          <w:tcPr>
            <w:tcW w:w="560" w:type="dxa"/>
            <w:vAlign w:val="bottom"/>
            <w:gridSpan w:val="2"/>
            <w:shd w:val="clear" w:color="auto" w:fill="1278A9"/>
          </w:tcPr>
          <w:p>
            <w:pPr>
              <w:spacing w:after="0" w:line="20" w:lineRule="exact"/>
              <w:rPr>
                <w:sz w:val="1"/>
                <w:szCs w:val="1"/>
                <w:color w:val="auto"/>
              </w:rPr>
            </w:pPr>
          </w:p>
        </w:tc>
        <w:tc>
          <w:tcPr>
            <w:tcW w:w="100" w:type="dxa"/>
            <w:vAlign w:val="bottom"/>
            <w:shd w:val="clear" w:color="auto" w:fill="1278A9"/>
          </w:tcPr>
          <w:p>
            <w:pPr>
              <w:spacing w:after="0" w:line="20" w:lineRule="exact"/>
              <w:rPr>
                <w:sz w:val="1"/>
                <w:szCs w:val="1"/>
                <w:color w:val="auto"/>
              </w:rPr>
            </w:pPr>
          </w:p>
        </w:tc>
        <w:tc>
          <w:tcPr>
            <w:tcW w:w="300" w:type="dxa"/>
            <w:vAlign w:val="bottom"/>
            <w:shd w:val="clear" w:color="auto" w:fill="1278A9"/>
          </w:tcPr>
          <w:p>
            <w:pPr>
              <w:spacing w:after="0" w:line="20" w:lineRule="exact"/>
              <w:rPr>
                <w:sz w:val="1"/>
                <w:szCs w:val="1"/>
                <w:color w:val="auto"/>
              </w:rPr>
            </w:pPr>
          </w:p>
        </w:tc>
        <w:tc>
          <w:tcPr>
            <w:tcW w:w="80" w:type="dxa"/>
            <w:vAlign w:val="bottom"/>
            <w:tcBorders>
              <w:left w:val="single" w:sz="8" w:color="1278A9"/>
            </w:tcBorders>
            <w:shd w:val="clear" w:color="auto" w:fill="1278A9"/>
          </w:tcPr>
          <w:p>
            <w:pPr>
              <w:spacing w:after="0" w:line="20" w:lineRule="exact"/>
              <w:rPr>
                <w:sz w:val="1"/>
                <w:szCs w:val="1"/>
                <w:color w:val="auto"/>
              </w:rPr>
            </w:pPr>
          </w:p>
        </w:tc>
        <w:tc>
          <w:tcPr>
            <w:tcW w:w="160" w:type="dxa"/>
            <w:vAlign w:val="bottom"/>
            <w:shd w:val="clear" w:color="auto" w:fill="1278A9"/>
          </w:tcPr>
          <w:p>
            <w:pPr>
              <w:spacing w:after="0" w:line="20" w:lineRule="exact"/>
              <w:rPr>
                <w:sz w:val="1"/>
                <w:szCs w:val="1"/>
                <w:color w:val="auto"/>
              </w:rPr>
            </w:pPr>
          </w:p>
        </w:tc>
        <w:tc>
          <w:tcPr>
            <w:tcW w:w="120" w:type="dxa"/>
            <w:vAlign w:val="bottom"/>
            <w:shd w:val="clear" w:color="auto" w:fill="1278A9"/>
          </w:tcPr>
          <w:p>
            <w:pPr>
              <w:spacing w:after="0" w:line="20" w:lineRule="exact"/>
              <w:rPr>
                <w:sz w:val="1"/>
                <w:szCs w:val="1"/>
                <w:color w:val="auto"/>
              </w:rPr>
            </w:pPr>
          </w:p>
        </w:tc>
        <w:tc>
          <w:tcPr>
            <w:tcW w:w="60" w:type="dxa"/>
            <w:vAlign w:val="bottom"/>
            <w:tcBorders>
              <w:right w:val="single" w:sz="8" w:color="1278A9"/>
            </w:tcBorders>
            <w:shd w:val="clear" w:color="auto" w:fill="1278A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160" w:type="dxa"/>
            <w:vAlign w:val="bottom"/>
            <w:tcBorders>
              <w:bottom w:val="single" w:sz="8" w:color="1278A9"/>
            </w:tcBorders>
            <w:gridSpan w:val="11"/>
          </w:tcPr>
          <w:p>
            <w:pPr>
              <w:spacing w:after="0"/>
              <w:rPr>
                <w:rFonts w:ascii="Arial" w:cs="Arial" w:eastAsia="Arial" w:hAnsi="Arial"/>
                <w:sz w:val="18"/>
                <w:szCs w:val="18"/>
                <w:b w:val="1"/>
                <w:bCs w:val="1"/>
                <w:color w:val="1278A9"/>
                <w:w w:val="99"/>
              </w:rPr>
            </w:pPr>
            <w:hyperlink w:anchor="page29">
              <w:r>
                <w:rPr>
                  <w:rFonts w:ascii="Arial" w:cs="Arial" w:eastAsia="Arial" w:hAnsi="Arial"/>
                  <w:sz w:val="18"/>
                  <w:szCs w:val="18"/>
                  <w:b w:val="1"/>
                  <w:bCs w:val="1"/>
                  <w:color w:val="1278A9"/>
                  <w:w w:val="99"/>
                </w:rPr>
                <w:t>Executive Compensation</w:t>
              </w:r>
            </w:hyperlink>
          </w:p>
        </w:tc>
        <w:tc>
          <w:tcPr>
            <w:tcW w:w="2780" w:type="dxa"/>
            <w:vAlign w:val="bottom"/>
            <w:gridSpan w:val="2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1278A9"/>
              </w:rPr>
              <w:t>24</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440" w:type="dxa"/>
            <w:vAlign w:val="bottom"/>
            <w:gridSpan w:val="31"/>
          </w:tcPr>
          <w:p>
            <w:pPr>
              <w:spacing w:after="0"/>
              <w:rPr>
                <w:rFonts w:ascii="Arial" w:cs="Arial" w:eastAsia="Arial" w:hAnsi="Arial"/>
                <w:sz w:val="18"/>
                <w:szCs w:val="18"/>
                <w:color w:val="58585A"/>
              </w:rPr>
            </w:pPr>
            <w:hyperlink w:anchor="page29">
              <w:r>
                <w:rPr>
                  <w:rFonts w:ascii="Arial" w:cs="Arial" w:eastAsia="Arial" w:hAnsi="Arial"/>
                  <w:sz w:val="18"/>
                  <w:szCs w:val="18"/>
                  <w:color w:val="58585A"/>
                </w:rPr>
                <w:t>Compensation Discussion and Analysis</w:t>
              </w:r>
            </w:hyperlink>
          </w:p>
        </w:tc>
        <w:tc>
          <w:tcPr>
            <w:tcW w:w="300" w:type="dxa"/>
            <w:vAlign w:val="bottom"/>
          </w:tcPr>
          <w:p>
            <w:pPr>
              <w:jc w:val="right"/>
              <w:spacing w:after="0"/>
              <w:rPr>
                <w:sz w:val="20"/>
                <w:szCs w:val="20"/>
                <w:color w:val="auto"/>
              </w:rPr>
            </w:pPr>
            <w:r>
              <w:rPr>
                <w:rFonts w:ascii="Arial" w:cs="Arial" w:eastAsia="Arial" w:hAnsi="Arial"/>
                <w:sz w:val="18"/>
                <w:szCs w:val="18"/>
                <w:color w:val="58585A"/>
              </w:rPr>
              <w:t>24</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440" w:type="dxa"/>
            <w:vAlign w:val="bottom"/>
            <w:tcBorders>
              <w:top w:val="single" w:sz="8" w:color="58585A"/>
              <w:bottom w:val="single" w:sz="8" w:color="58585A"/>
            </w:tcBorders>
            <w:gridSpan w:val="13"/>
          </w:tcPr>
          <w:p>
            <w:pPr>
              <w:spacing w:after="0"/>
              <w:rPr>
                <w:rFonts w:ascii="Arial" w:cs="Arial" w:eastAsia="Arial" w:hAnsi="Arial"/>
                <w:sz w:val="18"/>
                <w:szCs w:val="18"/>
                <w:color w:val="58585A"/>
                <w:w w:val="97"/>
              </w:rPr>
            </w:pPr>
            <w:hyperlink w:anchor="page46">
              <w:r>
                <w:rPr>
                  <w:rFonts w:ascii="Arial" w:cs="Arial" w:eastAsia="Arial" w:hAnsi="Arial"/>
                  <w:sz w:val="18"/>
                  <w:szCs w:val="18"/>
                  <w:color w:val="58585A"/>
                  <w:w w:val="97"/>
                </w:rPr>
                <w:t>Summary Compensation Table</w:t>
              </w:r>
            </w:hyperlink>
          </w:p>
        </w:tc>
        <w:tc>
          <w:tcPr>
            <w:tcW w:w="680" w:type="dxa"/>
            <w:vAlign w:val="bottom"/>
            <w:tcBorders>
              <w:top w:val="single" w:sz="8" w:color="58585A"/>
            </w:tcBorders>
            <w:gridSpan w:val="6"/>
          </w:tcPr>
          <w:p>
            <w:pPr>
              <w:spacing w:after="0"/>
              <w:rPr>
                <w:sz w:val="18"/>
                <w:szCs w:val="18"/>
                <w:color w:val="auto"/>
              </w:rPr>
            </w:pPr>
          </w:p>
        </w:tc>
        <w:tc>
          <w:tcPr>
            <w:tcW w:w="1320" w:type="dxa"/>
            <w:vAlign w:val="bottom"/>
            <w:gridSpan w:val="12"/>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58585A"/>
              </w:rPr>
              <w:t>41</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260" w:type="dxa"/>
            <w:vAlign w:val="bottom"/>
            <w:tcBorders>
              <w:bottom w:val="single" w:sz="8" w:color="58585A"/>
            </w:tcBorders>
            <w:gridSpan w:val="12"/>
          </w:tcPr>
          <w:p>
            <w:pPr>
              <w:spacing w:after="0"/>
              <w:rPr>
                <w:rFonts w:ascii="Arial" w:cs="Arial" w:eastAsia="Arial" w:hAnsi="Arial"/>
                <w:sz w:val="18"/>
                <w:szCs w:val="18"/>
                <w:color w:val="58585A"/>
                <w:w w:val="98"/>
              </w:rPr>
            </w:pPr>
            <w:hyperlink w:anchor="page47">
              <w:r>
                <w:rPr>
                  <w:rFonts w:ascii="Arial" w:cs="Arial" w:eastAsia="Arial" w:hAnsi="Arial"/>
                  <w:sz w:val="18"/>
                  <w:szCs w:val="18"/>
                  <w:color w:val="58585A"/>
                  <w:w w:val="98"/>
                </w:rPr>
                <w:t>Grant of Plan-Based Awards</w:t>
              </w:r>
            </w:hyperlink>
          </w:p>
        </w:tc>
        <w:tc>
          <w:tcPr>
            <w:tcW w:w="2180" w:type="dxa"/>
            <w:vAlign w:val="bottom"/>
            <w:gridSpan w:val="19"/>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58585A"/>
              </w:rPr>
              <w:t>42</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3660" w:type="dxa"/>
            <w:vAlign w:val="bottom"/>
            <w:tcBorders>
              <w:bottom w:val="single" w:sz="8" w:color="58585A"/>
            </w:tcBorders>
            <w:gridSpan w:val="23"/>
          </w:tcPr>
          <w:p>
            <w:pPr>
              <w:spacing w:after="0"/>
              <w:rPr>
                <w:rFonts w:ascii="Arial" w:cs="Arial" w:eastAsia="Arial" w:hAnsi="Arial"/>
                <w:sz w:val="18"/>
                <w:szCs w:val="18"/>
                <w:color w:val="58585A"/>
                <w:w w:val="98"/>
              </w:rPr>
            </w:pPr>
            <w:hyperlink w:anchor="page48">
              <w:r>
                <w:rPr>
                  <w:rFonts w:ascii="Arial" w:cs="Arial" w:eastAsia="Arial" w:hAnsi="Arial"/>
                  <w:sz w:val="18"/>
                  <w:szCs w:val="18"/>
                  <w:color w:val="58585A"/>
                  <w:w w:val="98"/>
                </w:rPr>
                <w:t>Outstanding Equity Awards at Fiscal Year-End</w:t>
              </w:r>
            </w:hyperlink>
          </w:p>
        </w:tc>
        <w:tc>
          <w:tcPr>
            <w:tcW w:w="780" w:type="dxa"/>
            <w:vAlign w:val="bottom"/>
            <w:gridSpan w:val="8"/>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58585A"/>
              </w:rPr>
              <w:t>43</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440" w:type="dxa"/>
            <w:vAlign w:val="bottom"/>
            <w:gridSpan w:val="31"/>
          </w:tcPr>
          <w:p>
            <w:pPr>
              <w:spacing w:after="0"/>
              <w:rPr>
                <w:rFonts w:ascii="Arial" w:cs="Arial" w:eastAsia="Arial" w:hAnsi="Arial"/>
                <w:sz w:val="18"/>
                <w:szCs w:val="18"/>
                <w:color w:val="58585A"/>
              </w:rPr>
            </w:pPr>
            <w:hyperlink w:anchor="page49">
              <w:r>
                <w:rPr>
                  <w:rFonts w:ascii="Arial" w:cs="Arial" w:eastAsia="Arial" w:hAnsi="Arial"/>
                  <w:sz w:val="18"/>
                  <w:szCs w:val="18"/>
                  <w:color w:val="58585A"/>
                </w:rPr>
                <w:t>Stock Vested</w:t>
              </w:r>
            </w:hyperlink>
          </w:p>
        </w:tc>
        <w:tc>
          <w:tcPr>
            <w:tcW w:w="300" w:type="dxa"/>
            <w:vAlign w:val="bottom"/>
          </w:tcPr>
          <w:p>
            <w:pPr>
              <w:jc w:val="right"/>
              <w:spacing w:after="0"/>
              <w:rPr>
                <w:sz w:val="20"/>
                <w:szCs w:val="20"/>
                <w:color w:val="auto"/>
              </w:rPr>
            </w:pPr>
            <w:r>
              <w:rPr>
                <w:rFonts w:ascii="Arial" w:cs="Arial" w:eastAsia="Arial" w:hAnsi="Arial"/>
                <w:sz w:val="18"/>
                <w:szCs w:val="18"/>
                <w:color w:val="58585A"/>
              </w:rPr>
              <w:t>44</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560" w:type="dxa"/>
            <w:vAlign w:val="bottom"/>
            <w:gridSpan w:val="2"/>
            <w:shd w:val="clear" w:color="auto" w:fill="58585A"/>
          </w:tcPr>
          <w:p>
            <w:pPr>
              <w:spacing w:after="0" w:line="20" w:lineRule="exact"/>
              <w:rPr>
                <w:sz w:val="1"/>
                <w:szCs w:val="1"/>
                <w:color w:val="auto"/>
              </w:rPr>
            </w:pPr>
          </w:p>
        </w:tc>
        <w:tc>
          <w:tcPr>
            <w:tcW w:w="100" w:type="dxa"/>
            <w:vAlign w:val="bottom"/>
            <w:shd w:val="clear" w:color="auto" w:fill="58585A"/>
          </w:tcPr>
          <w:p>
            <w:pPr>
              <w:spacing w:after="0" w:line="20" w:lineRule="exact"/>
              <w:rPr>
                <w:sz w:val="1"/>
                <w:szCs w:val="1"/>
                <w:color w:val="auto"/>
              </w:rPr>
            </w:pPr>
          </w:p>
        </w:tc>
        <w:tc>
          <w:tcPr>
            <w:tcW w:w="300" w:type="dxa"/>
            <w:vAlign w:val="bottom"/>
            <w:shd w:val="clear" w:color="auto" w:fill="58585A"/>
          </w:tcPr>
          <w:p>
            <w:pPr>
              <w:spacing w:after="0" w:line="20" w:lineRule="exact"/>
              <w:rPr>
                <w:sz w:val="1"/>
                <w:szCs w:val="1"/>
                <w:color w:val="auto"/>
              </w:rPr>
            </w:pPr>
          </w:p>
        </w:tc>
        <w:tc>
          <w:tcPr>
            <w:tcW w:w="80" w:type="dxa"/>
            <w:vAlign w:val="bottom"/>
            <w:tcBorders>
              <w:left w:val="single" w:sz="8" w:color="58585A"/>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4440" w:type="dxa"/>
            <w:vAlign w:val="bottom"/>
            <w:gridSpan w:val="31"/>
          </w:tcPr>
          <w:p>
            <w:pPr>
              <w:spacing w:after="0"/>
              <w:rPr>
                <w:rFonts w:ascii="Arial" w:cs="Arial" w:eastAsia="Arial" w:hAnsi="Arial"/>
                <w:sz w:val="18"/>
                <w:szCs w:val="18"/>
                <w:color w:val="58585A"/>
              </w:rPr>
            </w:pPr>
            <w:hyperlink w:anchor="page49">
              <w:r>
                <w:rPr>
                  <w:rFonts w:ascii="Arial" w:cs="Arial" w:eastAsia="Arial" w:hAnsi="Arial"/>
                  <w:sz w:val="18"/>
                  <w:szCs w:val="18"/>
                  <w:color w:val="58585A"/>
                </w:rPr>
                <w:t>Equity Compensation Plan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58585A"/>
              </w:rPr>
              <w:t>44</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3040" w:type="dxa"/>
            <w:vAlign w:val="bottom"/>
            <w:tcBorders>
              <w:top w:val="single" w:sz="8" w:color="58585A"/>
            </w:tcBorders>
            <w:gridSpan w:val="18"/>
          </w:tcPr>
          <w:p>
            <w:pPr>
              <w:spacing w:after="0"/>
              <w:rPr>
                <w:rFonts w:ascii="Arial" w:cs="Arial" w:eastAsia="Arial" w:hAnsi="Arial"/>
                <w:sz w:val="18"/>
                <w:szCs w:val="18"/>
                <w:color w:val="58585A"/>
              </w:rPr>
            </w:pPr>
            <w:hyperlink w:anchor="page49">
              <w:r>
                <w:rPr>
                  <w:rFonts w:ascii="Arial" w:cs="Arial" w:eastAsia="Arial" w:hAnsi="Arial"/>
                  <w:sz w:val="18"/>
                  <w:szCs w:val="18"/>
                  <w:color w:val="58585A"/>
                </w:rPr>
                <w:t>Pension Benefits</w:t>
              </w:r>
            </w:hyperlink>
          </w:p>
        </w:tc>
        <w:tc>
          <w:tcPr>
            <w:tcW w:w="1400" w:type="dxa"/>
            <w:vAlign w:val="bottom"/>
            <w:gridSpan w:val="13"/>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58585A"/>
              </w:rPr>
              <w:t>44</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560" w:type="dxa"/>
            <w:vAlign w:val="bottom"/>
            <w:gridSpan w:val="2"/>
            <w:shd w:val="clear" w:color="auto" w:fill="58585A"/>
          </w:tcPr>
          <w:p>
            <w:pPr>
              <w:spacing w:after="0" w:line="20" w:lineRule="exact"/>
              <w:rPr>
                <w:sz w:val="1"/>
                <w:szCs w:val="1"/>
                <w:color w:val="auto"/>
              </w:rPr>
            </w:pPr>
          </w:p>
        </w:tc>
        <w:tc>
          <w:tcPr>
            <w:tcW w:w="100" w:type="dxa"/>
            <w:vAlign w:val="bottom"/>
            <w:shd w:val="clear" w:color="auto" w:fill="58585A"/>
          </w:tcPr>
          <w:p>
            <w:pPr>
              <w:spacing w:after="0" w:line="20" w:lineRule="exact"/>
              <w:rPr>
                <w:sz w:val="1"/>
                <w:szCs w:val="1"/>
                <w:color w:val="auto"/>
              </w:rPr>
            </w:pPr>
          </w:p>
        </w:tc>
        <w:tc>
          <w:tcPr>
            <w:tcW w:w="300" w:type="dxa"/>
            <w:vAlign w:val="bottom"/>
            <w:shd w:val="clear" w:color="auto" w:fill="58585A"/>
          </w:tcPr>
          <w:p>
            <w:pPr>
              <w:spacing w:after="0" w:line="20" w:lineRule="exact"/>
              <w:rPr>
                <w:sz w:val="1"/>
                <w:szCs w:val="1"/>
                <w:color w:val="auto"/>
              </w:rPr>
            </w:pPr>
          </w:p>
        </w:tc>
        <w:tc>
          <w:tcPr>
            <w:tcW w:w="80" w:type="dxa"/>
            <w:vAlign w:val="bottom"/>
            <w:tcBorders>
              <w:left w:val="single" w:sz="8" w:color="58585A"/>
            </w:tcBorders>
            <w:shd w:val="clear" w:color="auto" w:fill="58585A"/>
          </w:tcPr>
          <w:p>
            <w:pPr>
              <w:spacing w:after="0" w:line="20" w:lineRule="exact"/>
              <w:rPr>
                <w:sz w:val="1"/>
                <w:szCs w:val="1"/>
                <w:color w:val="auto"/>
              </w:rPr>
            </w:pPr>
          </w:p>
        </w:tc>
        <w:tc>
          <w:tcPr>
            <w:tcW w:w="160" w:type="dxa"/>
            <w:vAlign w:val="bottom"/>
            <w:shd w:val="clear" w:color="auto" w:fill="58585A"/>
          </w:tcPr>
          <w:p>
            <w:pPr>
              <w:spacing w:after="0" w:line="20" w:lineRule="exact"/>
              <w:rPr>
                <w:sz w:val="1"/>
                <w:szCs w:val="1"/>
                <w:color w:val="auto"/>
              </w:rPr>
            </w:pPr>
          </w:p>
        </w:tc>
        <w:tc>
          <w:tcPr>
            <w:tcW w:w="120" w:type="dxa"/>
            <w:vAlign w:val="bottom"/>
            <w:shd w:val="clear" w:color="auto" w:fill="58585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4440" w:type="dxa"/>
            <w:vAlign w:val="bottom"/>
            <w:gridSpan w:val="31"/>
          </w:tcPr>
          <w:p>
            <w:pPr>
              <w:spacing w:after="0"/>
              <w:rPr>
                <w:rFonts w:ascii="Arial" w:cs="Arial" w:eastAsia="Arial" w:hAnsi="Arial"/>
                <w:sz w:val="18"/>
                <w:szCs w:val="18"/>
                <w:color w:val="58585A"/>
              </w:rPr>
            </w:pPr>
            <w:hyperlink w:anchor="page50">
              <w:r>
                <w:rPr>
                  <w:rFonts w:ascii="Arial" w:cs="Arial" w:eastAsia="Arial" w:hAnsi="Arial"/>
                  <w:sz w:val="18"/>
                  <w:szCs w:val="18"/>
                  <w:color w:val="58585A"/>
                </w:rPr>
                <w:t>Nonqualified Deferred Compensation</w:t>
              </w:r>
            </w:hyperlink>
          </w:p>
        </w:tc>
        <w:tc>
          <w:tcPr>
            <w:tcW w:w="300" w:type="dxa"/>
            <w:vAlign w:val="bottom"/>
          </w:tcPr>
          <w:p>
            <w:pPr>
              <w:jc w:val="right"/>
              <w:spacing w:after="0"/>
              <w:rPr>
                <w:sz w:val="20"/>
                <w:szCs w:val="20"/>
                <w:color w:val="auto"/>
              </w:rPr>
            </w:pPr>
            <w:r>
              <w:rPr>
                <w:rFonts w:ascii="Arial" w:cs="Arial" w:eastAsia="Arial" w:hAnsi="Arial"/>
                <w:sz w:val="18"/>
                <w:szCs w:val="18"/>
                <w:color w:val="58585A"/>
              </w:rPr>
              <w:t>45</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560" w:type="dxa"/>
            <w:vAlign w:val="bottom"/>
            <w:gridSpan w:val="2"/>
            <w:shd w:val="clear" w:color="auto" w:fill="58585A"/>
          </w:tcPr>
          <w:p>
            <w:pPr>
              <w:spacing w:after="0" w:line="20" w:lineRule="exact"/>
              <w:rPr>
                <w:sz w:val="1"/>
                <w:szCs w:val="1"/>
                <w:color w:val="auto"/>
              </w:rPr>
            </w:pPr>
          </w:p>
        </w:tc>
        <w:tc>
          <w:tcPr>
            <w:tcW w:w="100" w:type="dxa"/>
            <w:vAlign w:val="bottom"/>
            <w:shd w:val="clear" w:color="auto" w:fill="58585A"/>
          </w:tcPr>
          <w:p>
            <w:pPr>
              <w:spacing w:after="0" w:line="20" w:lineRule="exact"/>
              <w:rPr>
                <w:sz w:val="1"/>
                <w:szCs w:val="1"/>
                <w:color w:val="auto"/>
              </w:rPr>
            </w:pPr>
          </w:p>
        </w:tc>
        <w:tc>
          <w:tcPr>
            <w:tcW w:w="300" w:type="dxa"/>
            <w:vAlign w:val="bottom"/>
            <w:shd w:val="clear" w:color="auto" w:fill="58585A"/>
          </w:tcPr>
          <w:p>
            <w:pPr>
              <w:spacing w:after="0" w:line="20" w:lineRule="exact"/>
              <w:rPr>
                <w:sz w:val="1"/>
                <w:szCs w:val="1"/>
                <w:color w:val="auto"/>
              </w:rPr>
            </w:pPr>
          </w:p>
        </w:tc>
        <w:tc>
          <w:tcPr>
            <w:tcW w:w="80" w:type="dxa"/>
            <w:vAlign w:val="bottom"/>
            <w:tcBorders>
              <w:left w:val="single" w:sz="8" w:color="58585A"/>
            </w:tcBorders>
            <w:shd w:val="clear" w:color="auto" w:fill="58585A"/>
          </w:tcPr>
          <w:p>
            <w:pPr>
              <w:spacing w:after="0" w:line="20" w:lineRule="exact"/>
              <w:rPr>
                <w:sz w:val="1"/>
                <w:szCs w:val="1"/>
                <w:color w:val="auto"/>
              </w:rPr>
            </w:pPr>
          </w:p>
        </w:tc>
        <w:tc>
          <w:tcPr>
            <w:tcW w:w="160" w:type="dxa"/>
            <w:vAlign w:val="bottom"/>
            <w:shd w:val="clear" w:color="auto" w:fill="58585A"/>
          </w:tcPr>
          <w:p>
            <w:pPr>
              <w:spacing w:after="0" w:line="20" w:lineRule="exact"/>
              <w:rPr>
                <w:sz w:val="1"/>
                <w:szCs w:val="1"/>
                <w:color w:val="auto"/>
              </w:rPr>
            </w:pPr>
          </w:p>
        </w:tc>
        <w:tc>
          <w:tcPr>
            <w:tcW w:w="180" w:type="dxa"/>
            <w:vAlign w:val="bottom"/>
            <w:tcBorders>
              <w:right w:val="single" w:sz="8" w:color="58585A"/>
            </w:tcBorders>
            <w:gridSpan w:val="2"/>
            <w:shd w:val="clear" w:color="auto" w:fill="58585A"/>
          </w:tcPr>
          <w:p>
            <w:pPr>
              <w:spacing w:after="0" w:line="20" w:lineRule="exact"/>
              <w:rPr>
                <w:sz w:val="1"/>
                <w:szCs w:val="1"/>
                <w:color w:val="auto"/>
              </w:rPr>
            </w:pPr>
          </w:p>
        </w:tc>
        <w:tc>
          <w:tcPr>
            <w:tcW w:w="260" w:type="dxa"/>
            <w:vAlign w:val="bottom"/>
            <w:tcBorders>
              <w:right w:val="single" w:sz="8" w:color="58585A"/>
            </w:tcBorders>
            <w:shd w:val="clear" w:color="auto" w:fill="58585A"/>
          </w:tcPr>
          <w:p>
            <w:pPr>
              <w:spacing w:after="0" w:line="20" w:lineRule="exact"/>
              <w:rPr>
                <w:sz w:val="1"/>
                <w:szCs w:val="1"/>
                <w:color w:val="auto"/>
              </w:rPr>
            </w:pPr>
          </w:p>
        </w:tc>
        <w:tc>
          <w:tcPr>
            <w:tcW w:w="160" w:type="dxa"/>
            <w:vAlign w:val="bottom"/>
            <w:gridSpan w:val="2"/>
            <w:shd w:val="clear" w:color="auto" w:fill="58585A"/>
          </w:tcPr>
          <w:p>
            <w:pPr>
              <w:spacing w:after="0" w:line="20" w:lineRule="exact"/>
              <w:rPr>
                <w:sz w:val="1"/>
                <w:szCs w:val="1"/>
                <w:color w:val="auto"/>
              </w:rPr>
            </w:pPr>
          </w:p>
        </w:tc>
        <w:tc>
          <w:tcPr>
            <w:tcW w:w="700" w:type="dxa"/>
            <w:vAlign w:val="bottom"/>
            <w:gridSpan w:val="3"/>
            <w:shd w:val="clear" w:color="auto" w:fill="58585A"/>
          </w:tcPr>
          <w:p>
            <w:pPr>
              <w:spacing w:after="0" w:line="20" w:lineRule="exact"/>
              <w:rPr>
                <w:sz w:val="1"/>
                <w:szCs w:val="1"/>
                <w:color w:val="auto"/>
              </w:rPr>
            </w:pPr>
          </w:p>
        </w:tc>
        <w:tc>
          <w:tcPr>
            <w:tcW w:w="280" w:type="dxa"/>
            <w:vAlign w:val="bottom"/>
            <w:shd w:val="clear" w:color="auto" w:fill="58585A"/>
          </w:tcPr>
          <w:p>
            <w:pPr>
              <w:spacing w:after="0" w:line="20" w:lineRule="exact"/>
              <w:rPr>
                <w:sz w:val="1"/>
                <w:szCs w:val="1"/>
                <w:color w:val="auto"/>
              </w:rPr>
            </w:pPr>
          </w:p>
        </w:tc>
        <w:tc>
          <w:tcPr>
            <w:tcW w:w="60" w:type="dxa"/>
            <w:vAlign w:val="bottom"/>
            <w:shd w:val="clear" w:color="auto" w:fill="58585A"/>
          </w:tcPr>
          <w:p>
            <w:pPr>
              <w:spacing w:after="0" w:line="20" w:lineRule="exact"/>
              <w:rPr>
                <w:sz w:val="1"/>
                <w:szCs w:val="1"/>
                <w:color w:val="auto"/>
              </w:rPr>
            </w:pPr>
          </w:p>
        </w:tc>
        <w:tc>
          <w:tcPr>
            <w:tcW w:w="140" w:type="dxa"/>
            <w:vAlign w:val="bottom"/>
            <w:shd w:val="clear" w:color="auto" w:fill="58585A"/>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3940" w:type="dxa"/>
            <w:vAlign w:val="bottom"/>
            <w:tcBorders>
              <w:bottom w:val="single" w:sz="8" w:color="58585A"/>
            </w:tcBorders>
            <w:gridSpan w:val="26"/>
          </w:tcPr>
          <w:p>
            <w:pPr>
              <w:spacing w:after="0"/>
              <w:rPr>
                <w:rFonts w:ascii="Arial" w:cs="Arial" w:eastAsia="Arial" w:hAnsi="Arial"/>
                <w:sz w:val="18"/>
                <w:szCs w:val="18"/>
                <w:color w:val="58585A"/>
                <w:w w:val="98"/>
              </w:rPr>
            </w:pPr>
            <w:hyperlink w:anchor="page50">
              <w:r>
                <w:rPr>
                  <w:rFonts w:ascii="Arial" w:cs="Arial" w:eastAsia="Arial" w:hAnsi="Arial"/>
                  <w:sz w:val="18"/>
                  <w:szCs w:val="18"/>
                  <w:color w:val="58585A"/>
                  <w:w w:val="98"/>
                </w:rPr>
                <w:t>Potential Payouts Upon Termination or Change of</w:t>
              </w:r>
            </w:hyperlink>
          </w:p>
        </w:tc>
        <w:tc>
          <w:tcPr>
            <w:tcW w:w="500" w:type="dxa"/>
            <w:vAlign w:val="bottom"/>
            <w:gridSpan w:val="5"/>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560" w:type="dxa"/>
            <w:vAlign w:val="bottom"/>
            <w:tcBorders>
              <w:bottom w:val="single" w:sz="8" w:color="58585A"/>
            </w:tcBorders>
            <w:gridSpan w:val="2"/>
          </w:tcPr>
          <w:p>
            <w:pPr>
              <w:spacing w:after="0" w:line="182" w:lineRule="exact"/>
              <w:rPr>
                <w:rFonts w:ascii="Arial" w:cs="Arial" w:eastAsia="Arial" w:hAnsi="Arial"/>
                <w:sz w:val="18"/>
                <w:szCs w:val="18"/>
                <w:color w:val="58585A"/>
                <w:w w:val="92"/>
              </w:rPr>
            </w:pPr>
            <w:hyperlink w:anchor="page50">
              <w:r>
                <w:rPr>
                  <w:rFonts w:ascii="Arial" w:cs="Arial" w:eastAsia="Arial" w:hAnsi="Arial"/>
                  <w:sz w:val="18"/>
                  <w:szCs w:val="18"/>
                  <w:color w:val="58585A"/>
                  <w:w w:val="92"/>
                </w:rPr>
                <w:t>Control</w:t>
              </w:r>
            </w:hyperlink>
          </w:p>
        </w:tc>
        <w:tc>
          <w:tcPr>
            <w:tcW w:w="3880" w:type="dxa"/>
            <w:vAlign w:val="bottom"/>
            <w:gridSpan w:val="2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58585A"/>
              </w:rPr>
              <w:t>45</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3820" w:type="dxa"/>
            <w:vAlign w:val="bottom"/>
            <w:tcBorders>
              <w:bottom w:val="single" w:sz="8" w:color="58585A"/>
            </w:tcBorders>
            <w:gridSpan w:val="24"/>
          </w:tcPr>
          <w:p>
            <w:pPr>
              <w:spacing w:after="0"/>
              <w:rPr>
                <w:rFonts w:ascii="Arial" w:cs="Arial" w:eastAsia="Arial" w:hAnsi="Arial"/>
                <w:sz w:val="18"/>
                <w:szCs w:val="18"/>
                <w:color w:val="58585A"/>
                <w:w w:val="98"/>
              </w:rPr>
            </w:pPr>
            <w:hyperlink w:anchor="page52">
              <w:r>
                <w:rPr>
                  <w:rFonts w:ascii="Arial" w:cs="Arial" w:eastAsia="Arial" w:hAnsi="Arial"/>
                  <w:sz w:val="18"/>
                  <w:szCs w:val="18"/>
                  <w:color w:val="58585A"/>
                  <w:w w:val="98"/>
                </w:rPr>
                <w:t>Compensation Committee Interlocks and Insider</w:t>
              </w:r>
            </w:hyperlink>
          </w:p>
        </w:tc>
        <w:tc>
          <w:tcPr>
            <w:tcW w:w="620" w:type="dxa"/>
            <w:vAlign w:val="bottom"/>
            <w:gridSpan w:val="7"/>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4440" w:type="dxa"/>
            <w:vAlign w:val="bottom"/>
            <w:gridSpan w:val="31"/>
          </w:tcPr>
          <w:p>
            <w:pPr>
              <w:spacing w:after="0" w:line="182" w:lineRule="exact"/>
              <w:rPr>
                <w:rFonts w:ascii="Arial" w:cs="Arial" w:eastAsia="Arial" w:hAnsi="Arial"/>
                <w:sz w:val="18"/>
                <w:szCs w:val="18"/>
                <w:color w:val="58585A"/>
              </w:rPr>
            </w:pPr>
            <w:hyperlink w:anchor="page52">
              <w:r>
                <w:rPr>
                  <w:rFonts w:ascii="Arial" w:cs="Arial" w:eastAsia="Arial" w:hAnsi="Arial"/>
                  <w:sz w:val="18"/>
                  <w:szCs w:val="18"/>
                  <w:color w:val="58585A"/>
                </w:rPr>
                <w:t>Participation</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58585A"/>
              </w:rPr>
              <w:t>47</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660" w:type="dxa"/>
            <w:vAlign w:val="bottom"/>
            <w:gridSpan w:val="3"/>
            <w:shd w:val="clear" w:color="auto" w:fill="58585A"/>
          </w:tcPr>
          <w:p>
            <w:pPr>
              <w:spacing w:after="0" w:line="20" w:lineRule="exact"/>
              <w:rPr>
                <w:sz w:val="1"/>
                <w:szCs w:val="1"/>
                <w:color w:val="auto"/>
              </w:rPr>
            </w:pPr>
          </w:p>
        </w:tc>
        <w:tc>
          <w:tcPr>
            <w:tcW w:w="300" w:type="dxa"/>
            <w:vAlign w:val="bottom"/>
            <w:shd w:val="clear" w:color="auto" w:fill="58585A"/>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440" w:type="dxa"/>
            <w:vAlign w:val="bottom"/>
            <w:gridSpan w:val="31"/>
          </w:tcPr>
          <w:p>
            <w:pPr>
              <w:spacing w:after="0"/>
              <w:rPr>
                <w:rFonts w:ascii="Arial" w:cs="Arial" w:eastAsia="Arial" w:hAnsi="Arial"/>
                <w:sz w:val="18"/>
                <w:szCs w:val="18"/>
                <w:color w:val="58585A"/>
              </w:rPr>
            </w:pPr>
            <w:hyperlink w:anchor="page52">
              <w:r>
                <w:rPr>
                  <w:rFonts w:ascii="Arial" w:cs="Arial" w:eastAsia="Arial" w:hAnsi="Arial"/>
                  <w:sz w:val="18"/>
                  <w:szCs w:val="18"/>
                  <w:color w:val="58585A"/>
                </w:rPr>
                <w:t>Compensation Risk Considerations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58585A"/>
              </w:rPr>
              <w:t>47</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2780" w:type="dxa"/>
            <w:vAlign w:val="bottom"/>
            <w:tcBorders>
              <w:top w:val="single" w:sz="8" w:color="58585A"/>
            </w:tcBorders>
            <w:gridSpan w:val="15"/>
          </w:tcPr>
          <w:p>
            <w:pPr>
              <w:spacing w:after="0"/>
              <w:rPr>
                <w:rFonts w:ascii="Arial" w:cs="Arial" w:eastAsia="Arial" w:hAnsi="Arial"/>
                <w:sz w:val="18"/>
                <w:szCs w:val="18"/>
                <w:color w:val="58585A"/>
              </w:rPr>
            </w:pPr>
            <w:hyperlink w:anchor="page53">
              <w:r>
                <w:rPr>
                  <w:rFonts w:ascii="Arial" w:cs="Arial" w:eastAsia="Arial" w:hAnsi="Arial"/>
                  <w:sz w:val="18"/>
                  <w:szCs w:val="18"/>
                  <w:color w:val="58585A"/>
                </w:rPr>
                <w:t>Pay Ratio Disclosure</w:t>
              </w:r>
            </w:hyperlink>
          </w:p>
        </w:tc>
        <w:tc>
          <w:tcPr>
            <w:tcW w:w="1660" w:type="dxa"/>
            <w:vAlign w:val="bottom"/>
            <w:gridSpan w:val="16"/>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58585A"/>
              </w:rPr>
              <w:t>48</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660" w:type="dxa"/>
            <w:vAlign w:val="bottom"/>
            <w:gridSpan w:val="3"/>
            <w:shd w:val="clear" w:color="auto" w:fill="58585A"/>
          </w:tcPr>
          <w:p>
            <w:pPr>
              <w:spacing w:after="0" w:line="20" w:lineRule="exact"/>
              <w:rPr>
                <w:sz w:val="1"/>
                <w:szCs w:val="1"/>
                <w:color w:val="auto"/>
              </w:rPr>
            </w:pPr>
          </w:p>
        </w:tc>
        <w:tc>
          <w:tcPr>
            <w:tcW w:w="380" w:type="dxa"/>
            <w:vAlign w:val="bottom"/>
            <w:gridSpan w:val="2"/>
            <w:shd w:val="clear" w:color="auto" w:fill="58585A"/>
          </w:tcPr>
          <w:p>
            <w:pPr>
              <w:spacing w:after="0" w:line="20" w:lineRule="exact"/>
              <w:rPr>
                <w:sz w:val="1"/>
                <w:szCs w:val="1"/>
                <w:color w:val="auto"/>
              </w:rPr>
            </w:pPr>
          </w:p>
        </w:tc>
        <w:tc>
          <w:tcPr>
            <w:tcW w:w="160" w:type="dxa"/>
            <w:vAlign w:val="bottom"/>
            <w:shd w:val="clear" w:color="auto" w:fill="58585A"/>
          </w:tcPr>
          <w:p>
            <w:pPr>
              <w:spacing w:after="0" w:line="20" w:lineRule="exact"/>
              <w:rPr>
                <w:sz w:val="1"/>
                <w:szCs w:val="1"/>
                <w:color w:val="auto"/>
              </w:rPr>
            </w:pPr>
          </w:p>
        </w:tc>
        <w:tc>
          <w:tcPr>
            <w:tcW w:w="180" w:type="dxa"/>
            <w:vAlign w:val="bottom"/>
            <w:tcBorders>
              <w:right w:val="single" w:sz="8" w:color="58585A"/>
            </w:tcBorders>
            <w:gridSpan w:val="2"/>
            <w:shd w:val="clear" w:color="auto" w:fill="58585A"/>
          </w:tcPr>
          <w:p>
            <w:pPr>
              <w:spacing w:after="0" w:line="20" w:lineRule="exact"/>
              <w:rPr>
                <w:sz w:val="1"/>
                <w:szCs w:val="1"/>
                <w:color w:val="auto"/>
              </w:rPr>
            </w:pPr>
          </w:p>
        </w:tc>
        <w:tc>
          <w:tcPr>
            <w:tcW w:w="260" w:type="dxa"/>
            <w:vAlign w:val="bottom"/>
            <w:tcBorders>
              <w:right w:val="single" w:sz="8" w:color="58585A"/>
            </w:tcBorders>
            <w:shd w:val="clear" w:color="auto" w:fill="58585A"/>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Borders>
              <w:bottom w:val="single" w:sz="8" w:color="1278A9"/>
            </w:tcBorders>
            <w:gridSpan w:val="7"/>
          </w:tcPr>
          <w:p>
            <w:pPr>
              <w:spacing w:after="0"/>
              <w:rPr>
                <w:rFonts w:ascii="Arial" w:cs="Arial" w:eastAsia="Arial" w:hAnsi="Arial"/>
                <w:sz w:val="18"/>
                <w:szCs w:val="18"/>
                <w:b w:val="1"/>
                <w:bCs w:val="1"/>
                <w:color w:val="1278A9"/>
                <w:w w:val="99"/>
              </w:rPr>
            </w:pPr>
            <w:hyperlink w:anchor="page54">
              <w:r>
                <w:rPr>
                  <w:rFonts w:ascii="Arial" w:cs="Arial" w:eastAsia="Arial" w:hAnsi="Arial"/>
                  <w:sz w:val="18"/>
                  <w:szCs w:val="18"/>
                  <w:b w:val="1"/>
                  <w:bCs w:val="1"/>
                  <w:color w:val="1278A9"/>
                  <w:w w:val="99"/>
                </w:rPr>
                <w:t>Security Ownership</w:t>
              </w:r>
            </w:hyperlink>
          </w:p>
        </w:tc>
        <w:tc>
          <w:tcPr>
            <w:tcW w:w="3240" w:type="dxa"/>
            <w:vAlign w:val="bottom"/>
            <w:gridSpan w:val="2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1278A9"/>
              </w:rPr>
              <w:t>49</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920" w:type="dxa"/>
            <w:vAlign w:val="bottom"/>
            <w:tcBorders>
              <w:bottom w:val="single" w:sz="8" w:color="58585A"/>
            </w:tcBorders>
            <w:gridSpan w:val="25"/>
          </w:tcPr>
          <w:p>
            <w:pPr>
              <w:spacing w:after="0"/>
              <w:rPr>
                <w:rFonts w:ascii="Arial" w:cs="Arial" w:eastAsia="Arial" w:hAnsi="Arial"/>
                <w:sz w:val="18"/>
                <w:szCs w:val="18"/>
                <w:color w:val="58585A"/>
              </w:rPr>
            </w:pPr>
            <w:hyperlink w:anchor="page54">
              <w:r>
                <w:rPr>
                  <w:rFonts w:ascii="Arial" w:cs="Arial" w:eastAsia="Arial" w:hAnsi="Arial"/>
                  <w:sz w:val="18"/>
                  <w:szCs w:val="18"/>
                  <w:color w:val="58585A"/>
                </w:rPr>
                <w:t>Security Ownership of Certain Beneficial Owners</w:t>
              </w:r>
            </w:hyperlink>
          </w:p>
        </w:tc>
        <w:tc>
          <w:tcPr>
            <w:tcW w:w="520" w:type="dxa"/>
            <w:vAlign w:val="bottom"/>
            <w:gridSpan w:val="6"/>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58585A"/>
              </w:rPr>
              <w:t>49</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440" w:type="dxa"/>
            <w:vAlign w:val="bottom"/>
            <w:gridSpan w:val="31"/>
          </w:tcPr>
          <w:p>
            <w:pPr>
              <w:spacing w:after="0"/>
              <w:rPr>
                <w:rFonts w:ascii="Arial" w:cs="Arial" w:eastAsia="Arial" w:hAnsi="Arial"/>
                <w:sz w:val="18"/>
                <w:szCs w:val="18"/>
                <w:color w:val="58585A"/>
              </w:rPr>
            </w:pPr>
            <w:hyperlink w:anchor="page55">
              <w:r>
                <w:rPr>
                  <w:rFonts w:ascii="Arial" w:cs="Arial" w:eastAsia="Arial" w:hAnsi="Arial"/>
                  <w:sz w:val="18"/>
                  <w:szCs w:val="18"/>
                  <w:color w:val="58585A"/>
                </w:rPr>
                <w:t>Security Ownership of Management</w:t>
              </w:r>
            </w:hyperlink>
          </w:p>
        </w:tc>
        <w:tc>
          <w:tcPr>
            <w:tcW w:w="300" w:type="dxa"/>
            <w:vAlign w:val="bottom"/>
          </w:tcPr>
          <w:p>
            <w:pPr>
              <w:jc w:val="right"/>
              <w:spacing w:after="0"/>
              <w:rPr>
                <w:sz w:val="20"/>
                <w:szCs w:val="20"/>
                <w:color w:val="auto"/>
              </w:rPr>
            </w:pPr>
            <w:r>
              <w:rPr>
                <w:rFonts w:ascii="Arial" w:cs="Arial" w:eastAsia="Arial" w:hAnsi="Arial"/>
                <w:sz w:val="18"/>
                <w:szCs w:val="18"/>
                <w:color w:val="58585A"/>
              </w:rPr>
              <w:t>50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gridSpan w:val="3"/>
            <w:shd w:val="clear" w:color="auto" w:fill="58585A"/>
          </w:tcPr>
          <w:p>
            <w:pPr>
              <w:spacing w:after="0" w:line="20" w:lineRule="exact"/>
              <w:rPr>
                <w:sz w:val="1"/>
                <w:szCs w:val="1"/>
                <w:color w:val="auto"/>
              </w:rPr>
            </w:pPr>
          </w:p>
        </w:tc>
        <w:tc>
          <w:tcPr>
            <w:tcW w:w="380" w:type="dxa"/>
            <w:vAlign w:val="bottom"/>
            <w:gridSpan w:val="2"/>
            <w:shd w:val="clear" w:color="auto" w:fill="58585A"/>
          </w:tcPr>
          <w:p>
            <w:pPr>
              <w:spacing w:after="0" w:line="20" w:lineRule="exact"/>
              <w:rPr>
                <w:sz w:val="1"/>
                <w:szCs w:val="1"/>
                <w:color w:val="auto"/>
              </w:rPr>
            </w:pPr>
          </w:p>
        </w:tc>
        <w:tc>
          <w:tcPr>
            <w:tcW w:w="340" w:type="dxa"/>
            <w:vAlign w:val="bottom"/>
            <w:tcBorders>
              <w:right w:val="single" w:sz="8" w:color="58585A"/>
            </w:tcBorders>
            <w:gridSpan w:val="3"/>
            <w:shd w:val="clear" w:color="auto" w:fill="58585A"/>
          </w:tcPr>
          <w:p>
            <w:pPr>
              <w:spacing w:after="0" w:line="20" w:lineRule="exact"/>
              <w:rPr>
                <w:sz w:val="1"/>
                <w:szCs w:val="1"/>
                <w:color w:val="auto"/>
              </w:rPr>
            </w:pPr>
          </w:p>
        </w:tc>
        <w:tc>
          <w:tcPr>
            <w:tcW w:w="260" w:type="dxa"/>
            <w:vAlign w:val="bottom"/>
            <w:tcBorders>
              <w:right w:val="single" w:sz="8" w:color="58585A"/>
            </w:tcBorders>
            <w:shd w:val="clear" w:color="auto" w:fill="58585A"/>
          </w:tcPr>
          <w:p>
            <w:pPr>
              <w:spacing w:after="0" w:line="20" w:lineRule="exact"/>
              <w:rPr>
                <w:sz w:val="1"/>
                <w:szCs w:val="1"/>
                <w:color w:val="auto"/>
              </w:rPr>
            </w:pPr>
          </w:p>
        </w:tc>
        <w:tc>
          <w:tcPr>
            <w:tcW w:w="160" w:type="dxa"/>
            <w:vAlign w:val="bottom"/>
            <w:gridSpan w:val="2"/>
            <w:shd w:val="clear" w:color="auto" w:fill="58585A"/>
          </w:tcPr>
          <w:p>
            <w:pPr>
              <w:spacing w:after="0" w:line="20" w:lineRule="exact"/>
              <w:rPr>
                <w:sz w:val="1"/>
                <w:szCs w:val="1"/>
                <w:color w:val="auto"/>
              </w:rPr>
            </w:pPr>
          </w:p>
        </w:tc>
        <w:tc>
          <w:tcPr>
            <w:tcW w:w="700" w:type="dxa"/>
            <w:vAlign w:val="bottom"/>
            <w:gridSpan w:val="3"/>
            <w:shd w:val="clear" w:color="auto" w:fill="58585A"/>
          </w:tcPr>
          <w:p>
            <w:pPr>
              <w:spacing w:after="0" w:line="20" w:lineRule="exact"/>
              <w:rPr>
                <w:sz w:val="1"/>
                <w:szCs w:val="1"/>
                <w:color w:val="auto"/>
              </w:rPr>
            </w:pPr>
          </w:p>
        </w:tc>
        <w:tc>
          <w:tcPr>
            <w:tcW w:w="340" w:type="dxa"/>
            <w:vAlign w:val="bottom"/>
            <w:gridSpan w:val="2"/>
            <w:shd w:val="clear" w:color="auto" w:fill="58585A"/>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140" w:type="dxa"/>
            <w:vAlign w:val="bottom"/>
            <w:tcBorders>
              <w:bottom w:val="single" w:sz="8" w:color="1278A9"/>
            </w:tcBorders>
            <w:gridSpan w:val="10"/>
          </w:tcPr>
          <w:p>
            <w:pPr>
              <w:spacing w:after="0"/>
              <w:rPr>
                <w:rFonts w:ascii="Arial" w:cs="Arial" w:eastAsia="Arial" w:hAnsi="Arial"/>
                <w:sz w:val="18"/>
                <w:szCs w:val="18"/>
                <w:b w:val="1"/>
                <w:bCs w:val="1"/>
                <w:color w:val="1278A9"/>
              </w:rPr>
            </w:pPr>
            <w:hyperlink w:anchor="page56">
              <w:r>
                <w:rPr>
                  <w:rFonts w:ascii="Arial" w:cs="Arial" w:eastAsia="Arial" w:hAnsi="Arial"/>
                  <w:sz w:val="18"/>
                  <w:szCs w:val="18"/>
                  <w:b w:val="1"/>
                  <w:bCs w:val="1"/>
                  <w:color w:val="1278A9"/>
                </w:rPr>
                <w:t>Audit Committee Report</w:t>
              </w:r>
            </w:hyperlink>
          </w:p>
        </w:tc>
        <w:tc>
          <w:tcPr>
            <w:tcW w:w="2800" w:type="dxa"/>
            <w:vAlign w:val="bottom"/>
            <w:gridSpan w:val="2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1278A9"/>
              </w:rPr>
              <w:t>51</w:t>
            </w:r>
          </w:p>
        </w:tc>
        <w:tc>
          <w:tcPr>
            <w:tcW w:w="0" w:type="dxa"/>
            <w:vAlign w:val="bottom"/>
          </w:tcPr>
          <w:p>
            <w:pPr>
              <w:spacing w:after="0"/>
              <w:rPr>
                <w:sz w:val="1"/>
                <w:szCs w:val="1"/>
                <w:color w:val="auto"/>
              </w:rPr>
            </w:pPr>
          </w:p>
        </w:tc>
      </w:tr>
      <w:tr>
        <w:trPr>
          <w:trHeight w:val="412"/>
        </w:trPr>
        <w:tc>
          <w:tcPr>
            <w:tcW w:w="4940" w:type="dxa"/>
            <w:vAlign w:val="bottom"/>
            <w:gridSpan w:val="32"/>
          </w:tcPr>
          <w:p>
            <w:pPr>
              <w:spacing w:after="0"/>
              <w:rPr>
                <w:rFonts w:ascii="Arial" w:cs="Arial" w:eastAsia="Arial" w:hAnsi="Arial"/>
                <w:sz w:val="18"/>
                <w:szCs w:val="18"/>
                <w:b w:val="1"/>
                <w:bCs w:val="1"/>
                <w:color w:val="1278A9"/>
              </w:rPr>
            </w:pPr>
            <w:hyperlink w:anchor="page57">
              <w:r>
                <w:rPr>
                  <w:rFonts w:ascii="Arial" w:cs="Arial" w:eastAsia="Arial" w:hAnsi="Arial"/>
                  <w:sz w:val="18"/>
                  <w:szCs w:val="18"/>
                  <w:b w:val="1"/>
                  <w:bCs w:val="1"/>
                  <w:color w:val="1278A9"/>
                </w:rPr>
                <w:t>Proposal 4: Ratification of Appointment of Independent</w:t>
              </w:r>
            </w:hyperlink>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1278A9"/>
              </w:rPr>
              <w:t>52</w:t>
            </w:r>
          </w:p>
        </w:tc>
        <w:tc>
          <w:tcPr>
            <w:tcW w:w="0" w:type="dxa"/>
            <w:vAlign w:val="bottom"/>
          </w:tcPr>
          <w:p>
            <w:pPr>
              <w:spacing w:after="0"/>
              <w:rPr>
                <w:sz w:val="1"/>
                <w:szCs w:val="1"/>
                <w:color w:val="auto"/>
              </w:rPr>
            </w:pPr>
          </w:p>
        </w:tc>
      </w:tr>
      <w:tr>
        <w:trPr>
          <w:trHeight w:val="183"/>
        </w:trPr>
        <w:tc>
          <w:tcPr>
            <w:tcW w:w="4740" w:type="dxa"/>
            <w:vAlign w:val="bottom"/>
            <w:tcBorders>
              <w:top w:val="single" w:sz="8" w:color="1278A9"/>
            </w:tcBorders>
            <w:gridSpan w:val="29"/>
          </w:tcPr>
          <w:p>
            <w:pPr>
              <w:spacing w:after="0" w:line="182" w:lineRule="exact"/>
              <w:rPr>
                <w:rFonts w:ascii="Arial" w:cs="Arial" w:eastAsia="Arial" w:hAnsi="Arial"/>
                <w:sz w:val="18"/>
                <w:szCs w:val="18"/>
                <w:b w:val="1"/>
                <w:bCs w:val="1"/>
                <w:color w:val="1278A9"/>
              </w:rPr>
            </w:pPr>
            <w:hyperlink w:anchor="page57">
              <w:r>
                <w:rPr>
                  <w:rFonts w:ascii="Arial" w:cs="Arial" w:eastAsia="Arial" w:hAnsi="Arial"/>
                  <w:sz w:val="18"/>
                  <w:szCs w:val="18"/>
                  <w:b w:val="1"/>
                  <w:bCs w:val="1"/>
                  <w:color w:val="1278A9"/>
                </w:rPr>
                <w:t>Registered Public Accounting Firm</w:t>
              </w:r>
            </w:hyperlink>
          </w:p>
        </w:tc>
        <w:tc>
          <w:tcPr>
            <w:tcW w:w="200" w:type="dxa"/>
            <w:vAlign w:val="bottom"/>
            <w:gridSpan w:val="3"/>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880" w:type="dxa"/>
            <w:vAlign w:val="bottom"/>
            <w:tcBorders>
              <w:top w:val="single" w:sz="8" w:color="1278A9"/>
              <w:bottom w:val="single" w:sz="8" w:color="1278A9"/>
            </w:tcBorders>
            <w:gridSpan w:val="9"/>
          </w:tcPr>
          <w:p>
            <w:pPr>
              <w:spacing w:after="0"/>
              <w:rPr>
                <w:rFonts w:ascii="Arial" w:cs="Arial" w:eastAsia="Arial" w:hAnsi="Arial"/>
                <w:sz w:val="18"/>
                <w:szCs w:val="18"/>
                <w:b w:val="1"/>
                <w:bCs w:val="1"/>
                <w:color w:val="1278A9"/>
                <w:w w:val="99"/>
              </w:rPr>
            </w:pPr>
            <w:hyperlink w:anchor="page58">
              <w:r>
                <w:rPr>
                  <w:rFonts w:ascii="Arial" w:cs="Arial" w:eastAsia="Arial" w:hAnsi="Arial"/>
                  <w:sz w:val="18"/>
                  <w:szCs w:val="18"/>
                  <w:b w:val="1"/>
                  <w:bCs w:val="1"/>
                  <w:color w:val="1278A9"/>
                  <w:w w:val="99"/>
                </w:rPr>
                <w:t>Fees Paid to Auditors</w:t>
              </w:r>
            </w:hyperlink>
          </w:p>
        </w:tc>
        <w:tc>
          <w:tcPr>
            <w:tcW w:w="1120" w:type="dxa"/>
            <w:vAlign w:val="bottom"/>
            <w:tcBorders>
              <w:top w:val="single" w:sz="8" w:color="1278A9"/>
            </w:tcBorders>
            <w:gridSpan w:val="6"/>
          </w:tcPr>
          <w:p>
            <w:pPr>
              <w:spacing w:after="0"/>
              <w:rPr>
                <w:sz w:val="24"/>
                <w:szCs w:val="24"/>
                <w:color w:val="auto"/>
              </w:rPr>
            </w:pPr>
          </w:p>
        </w:tc>
        <w:tc>
          <w:tcPr>
            <w:tcW w:w="194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1278A9"/>
              </w:rPr>
              <w:t>53</w:t>
            </w:r>
          </w:p>
        </w:tc>
        <w:tc>
          <w:tcPr>
            <w:tcW w:w="0" w:type="dxa"/>
            <w:vAlign w:val="bottom"/>
          </w:tcPr>
          <w:p>
            <w:pPr>
              <w:spacing w:after="0"/>
              <w:rPr>
                <w:sz w:val="1"/>
                <w:szCs w:val="1"/>
                <w:color w:val="auto"/>
              </w:rPr>
            </w:pPr>
          </w:p>
        </w:tc>
      </w:tr>
      <w:tr>
        <w:trPr>
          <w:trHeight w:val="385"/>
        </w:trPr>
        <w:tc>
          <w:tcPr>
            <w:tcW w:w="4940" w:type="dxa"/>
            <w:vAlign w:val="bottom"/>
            <w:gridSpan w:val="32"/>
          </w:tcPr>
          <w:p>
            <w:pPr>
              <w:spacing w:after="0"/>
              <w:rPr>
                <w:rFonts w:ascii="Arial" w:cs="Arial" w:eastAsia="Arial" w:hAnsi="Arial"/>
                <w:sz w:val="18"/>
                <w:szCs w:val="18"/>
                <w:b w:val="1"/>
                <w:bCs w:val="1"/>
                <w:color w:val="1278A9"/>
              </w:rPr>
            </w:pPr>
            <w:hyperlink w:anchor="page59">
              <w:r>
                <w:rPr>
                  <w:rFonts w:ascii="Arial" w:cs="Arial" w:eastAsia="Arial" w:hAnsi="Arial"/>
                  <w:sz w:val="18"/>
                  <w:szCs w:val="18"/>
                  <w:b w:val="1"/>
                  <w:bCs w:val="1"/>
                  <w:color w:val="1278A9"/>
                </w:rPr>
                <w:t>Solicitation, Meeting and Voting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1278A9"/>
              </w:rPr>
              <w:t>54</w:t>
            </w:r>
          </w:p>
        </w:tc>
        <w:tc>
          <w:tcPr>
            <w:tcW w:w="0" w:type="dxa"/>
            <w:vAlign w:val="bottom"/>
          </w:tcPr>
          <w:p>
            <w:pPr>
              <w:spacing w:after="0"/>
              <w:rPr>
                <w:sz w:val="1"/>
                <w:szCs w:val="1"/>
                <w:color w:val="auto"/>
              </w:rPr>
            </w:pPr>
          </w:p>
        </w:tc>
      </w:tr>
      <w:tr>
        <w:trPr>
          <w:trHeight w:val="20"/>
        </w:trPr>
        <w:tc>
          <w:tcPr>
            <w:tcW w:w="1160" w:type="dxa"/>
            <w:vAlign w:val="bottom"/>
            <w:gridSpan w:val="4"/>
            <w:shd w:val="clear" w:color="auto" w:fill="1278A9"/>
          </w:tcPr>
          <w:p>
            <w:pPr>
              <w:spacing w:after="0" w:line="20" w:lineRule="exact"/>
              <w:rPr>
                <w:sz w:val="1"/>
                <w:szCs w:val="1"/>
                <w:color w:val="auto"/>
              </w:rPr>
            </w:pPr>
          </w:p>
        </w:tc>
        <w:tc>
          <w:tcPr>
            <w:tcW w:w="380" w:type="dxa"/>
            <w:vAlign w:val="bottom"/>
            <w:gridSpan w:val="2"/>
            <w:shd w:val="clear" w:color="auto" w:fill="1278A9"/>
          </w:tcPr>
          <w:p>
            <w:pPr>
              <w:spacing w:after="0" w:line="20" w:lineRule="exact"/>
              <w:rPr>
                <w:sz w:val="1"/>
                <w:szCs w:val="1"/>
                <w:color w:val="auto"/>
              </w:rPr>
            </w:pPr>
          </w:p>
        </w:tc>
        <w:tc>
          <w:tcPr>
            <w:tcW w:w="760" w:type="dxa"/>
            <w:vAlign w:val="bottom"/>
            <w:gridSpan w:val="6"/>
            <w:shd w:val="clear" w:color="auto" w:fill="1278A9"/>
          </w:tcPr>
          <w:p>
            <w:pPr>
              <w:spacing w:after="0" w:line="20" w:lineRule="exact"/>
              <w:rPr>
                <w:sz w:val="1"/>
                <w:szCs w:val="1"/>
                <w:color w:val="auto"/>
              </w:rPr>
            </w:pPr>
          </w:p>
        </w:tc>
        <w:tc>
          <w:tcPr>
            <w:tcW w:w="1460" w:type="dxa"/>
            <w:vAlign w:val="bottom"/>
            <w:gridSpan w:val="9"/>
            <w:shd w:val="clear" w:color="auto" w:fill="1278A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940" w:type="dxa"/>
            <w:vAlign w:val="bottom"/>
            <w:gridSpan w:val="32"/>
          </w:tcPr>
          <w:p>
            <w:pPr>
              <w:spacing w:after="0"/>
              <w:rPr>
                <w:rFonts w:ascii="Arial" w:cs="Arial" w:eastAsia="Arial" w:hAnsi="Arial"/>
                <w:sz w:val="18"/>
                <w:szCs w:val="18"/>
                <w:b w:val="1"/>
                <w:bCs w:val="1"/>
                <w:color w:val="1278A9"/>
              </w:rPr>
            </w:pPr>
            <w:hyperlink w:anchor="page66">
              <w:r>
                <w:rPr>
                  <w:rFonts w:ascii="Arial" w:cs="Arial" w:eastAsia="Arial" w:hAnsi="Arial"/>
                  <w:sz w:val="18"/>
                  <w:szCs w:val="18"/>
                  <w:b w:val="1"/>
                  <w:bCs w:val="1"/>
                  <w:color w:val="1278A9"/>
                </w:rPr>
                <w:t>Shareholder Proposals for 2022 Annual Meeting of</w:t>
              </w:r>
            </w:hyperlink>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1278A9"/>
              </w:rPr>
              <w:t>61</w:t>
            </w:r>
          </w:p>
        </w:tc>
        <w:tc>
          <w:tcPr>
            <w:tcW w:w="0" w:type="dxa"/>
            <w:vAlign w:val="bottom"/>
          </w:tcPr>
          <w:p>
            <w:pPr>
              <w:spacing w:after="0"/>
              <w:rPr>
                <w:sz w:val="1"/>
                <w:szCs w:val="1"/>
                <w:color w:val="auto"/>
              </w:rPr>
            </w:pPr>
          </w:p>
        </w:tc>
      </w:tr>
      <w:tr>
        <w:trPr>
          <w:trHeight w:val="183"/>
        </w:trPr>
        <w:tc>
          <w:tcPr>
            <w:tcW w:w="1160" w:type="dxa"/>
            <w:vAlign w:val="bottom"/>
            <w:tcBorders>
              <w:top w:val="single" w:sz="8" w:color="1278A9"/>
              <w:bottom w:val="single" w:sz="8" w:color="1278A9"/>
            </w:tcBorders>
            <w:gridSpan w:val="4"/>
          </w:tcPr>
          <w:p>
            <w:pPr>
              <w:spacing w:after="0" w:line="182" w:lineRule="exact"/>
              <w:rPr>
                <w:rFonts w:ascii="Arial" w:cs="Arial" w:eastAsia="Arial" w:hAnsi="Arial"/>
                <w:sz w:val="18"/>
                <w:szCs w:val="18"/>
                <w:b w:val="1"/>
                <w:bCs w:val="1"/>
                <w:color w:val="1278A9"/>
                <w:w w:val="99"/>
              </w:rPr>
            </w:pPr>
            <w:hyperlink w:anchor="page66">
              <w:r>
                <w:rPr>
                  <w:rFonts w:ascii="Arial" w:cs="Arial" w:eastAsia="Arial" w:hAnsi="Arial"/>
                  <w:sz w:val="18"/>
                  <w:szCs w:val="18"/>
                  <w:b w:val="1"/>
                  <w:bCs w:val="1"/>
                  <w:color w:val="1278A9"/>
                  <w:w w:val="99"/>
                </w:rPr>
                <w:t>Shareholders</w:t>
              </w:r>
            </w:hyperlink>
          </w:p>
        </w:tc>
        <w:tc>
          <w:tcPr>
            <w:tcW w:w="3160" w:type="dxa"/>
            <w:vAlign w:val="bottom"/>
            <w:tcBorders>
              <w:top w:val="single" w:sz="8" w:color="1278A9"/>
            </w:tcBorders>
            <w:gridSpan w:val="21"/>
          </w:tcPr>
          <w:p>
            <w:pPr>
              <w:spacing w:after="0"/>
              <w:rPr>
                <w:sz w:val="15"/>
                <w:szCs w:val="15"/>
                <w:color w:val="auto"/>
              </w:rPr>
            </w:pPr>
          </w:p>
        </w:tc>
        <w:tc>
          <w:tcPr>
            <w:tcW w:w="620" w:type="dxa"/>
            <w:vAlign w:val="bottom"/>
            <w:gridSpan w:val="7"/>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440" w:type="dxa"/>
            <w:vAlign w:val="bottom"/>
            <w:gridSpan w:val="31"/>
          </w:tcPr>
          <w:p>
            <w:pPr>
              <w:spacing w:after="0"/>
              <w:rPr>
                <w:rFonts w:ascii="Arial" w:cs="Arial" w:eastAsia="Arial" w:hAnsi="Arial"/>
                <w:sz w:val="18"/>
                <w:szCs w:val="18"/>
                <w:color w:val="58585A"/>
              </w:rPr>
            </w:pPr>
            <w:hyperlink w:anchor="page66">
              <w:r>
                <w:rPr>
                  <w:rFonts w:ascii="Arial" w:cs="Arial" w:eastAsia="Arial" w:hAnsi="Arial"/>
                  <w:sz w:val="18"/>
                  <w:szCs w:val="18"/>
                  <w:color w:val="58585A"/>
                </w:rPr>
                <w:t>Shareholder Proposals</w:t>
              </w:r>
            </w:hyperlink>
          </w:p>
        </w:tc>
        <w:tc>
          <w:tcPr>
            <w:tcW w:w="300" w:type="dxa"/>
            <w:vAlign w:val="bottom"/>
          </w:tcPr>
          <w:p>
            <w:pPr>
              <w:jc w:val="right"/>
              <w:spacing w:after="0"/>
              <w:rPr>
                <w:sz w:val="20"/>
                <w:szCs w:val="20"/>
                <w:color w:val="auto"/>
              </w:rPr>
            </w:pPr>
            <w:r>
              <w:rPr>
                <w:rFonts w:ascii="Arial" w:cs="Arial" w:eastAsia="Arial" w:hAnsi="Arial"/>
                <w:sz w:val="18"/>
                <w:szCs w:val="18"/>
                <w:color w:val="58585A"/>
              </w:rPr>
              <w:t>61</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1040" w:type="dxa"/>
            <w:vAlign w:val="bottom"/>
            <w:gridSpan w:val="5"/>
            <w:shd w:val="clear" w:color="auto" w:fill="58585A"/>
          </w:tcPr>
          <w:p>
            <w:pPr>
              <w:spacing w:after="0" w:line="20" w:lineRule="exact"/>
              <w:rPr>
                <w:sz w:val="1"/>
                <w:szCs w:val="1"/>
                <w:color w:val="auto"/>
              </w:rPr>
            </w:pPr>
          </w:p>
        </w:tc>
        <w:tc>
          <w:tcPr>
            <w:tcW w:w="760" w:type="dxa"/>
            <w:vAlign w:val="bottom"/>
            <w:gridSpan w:val="6"/>
            <w:shd w:val="clear" w:color="auto" w:fill="58585A"/>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108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360" w:type="dxa"/>
            <w:vAlign w:val="bottom"/>
            <w:tcBorders>
              <w:bottom w:val="single" w:sz="8" w:color="58585A"/>
            </w:tcBorders>
            <w:gridSpan w:val="21"/>
          </w:tcPr>
          <w:p>
            <w:pPr>
              <w:spacing w:after="0"/>
              <w:rPr>
                <w:rFonts w:ascii="Arial" w:cs="Arial" w:eastAsia="Arial" w:hAnsi="Arial"/>
                <w:sz w:val="18"/>
                <w:szCs w:val="18"/>
                <w:color w:val="58585A"/>
                <w:w w:val="98"/>
              </w:rPr>
            </w:pPr>
            <w:hyperlink w:anchor="page66">
              <w:r>
                <w:rPr>
                  <w:rFonts w:ascii="Arial" w:cs="Arial" w:eastAsia="Arial" w:hAnsi="Arial"/>
                  <w:sz w:val="18"/>
                  <w:szCs w:val="18"/>
                  <w:color w:val="58585A"/>
                  <w:w w:val="98"/>
                </w:rPr>
                <w:t>Other Business at 2022 Annual Meeting of</w:t>
              </w:r>
            </w:hyperlink>
          </w:p>
        </w:tc>
        <w:tc>
          <w:tcPr>
            <w:tcW w:w="1080" w:type="dxa"/>
            <w:vAlign w:val="bottom"/>
            <w:gridSpan w:val="10"/>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4440" w:type="dxa"/>
            <w:vAlign w:val="bottom"/>
            <w:gridSpan w:val="31"/>
          </w:tcPr>
          <w:p>
            <w:pPr>
              <w:spacing w:after="0" w:line="182" w:lineRule="exact"/>
              <w:rPr>
                <w:rFonts w:ascii="Arial" w:cs="Arial" w:eastAsia="Arial" w:hAnsi="Arial"/>
                <w:sz w:val="18"/>
                <w:szCs w:val="18"/>
                <w:color w:val="58585A"/>
              </w:rPr>
            </w:pPr>
            <w:hyperlink w:anchor="page66">
              <w:r>
                <w:rPr>
                  <w:rFonts w:ascii="Arial" w:cs="Arial" w:eastAsia="Arial" w:hAnsi="Arial"/>
                  <w:sz w:val="18"/>
                  <w:szCs w:val="18"/>
                  <w:color w:val="58585A"/>
                </w:rPr>
                <w:t>Shareholders</w:t>
              </w:r>
            </w:hyperlink>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58585A"/>
              </w:rPr>
              <w:t>61</w:t>
            </w:r>
          </w:p>
        </w:tc>
        <w:tc>
          <w:tcPr>
            <w:tcW w:w="0" w:type="dxa"/>
            <w:vAlign w:val="bottom"/>
          </w:tcPr>
          <w:p>
            <w:pPr>
              <w:spacing w:after="0"/>
              <w:rPr>
                <w:sz w:val="1"/>
                <w:szCs w:val="1"/>
                <w:color w:val="auto"/>
              </w:rPr>
            </w:pPr>
          </w:p>
        </w:tc>
      </w:tr>
      <w:tr>
        <w:trPr>
          <w:trHeight w:val="20"/>
        </w:trPr>
        <w:tc>
          <w:tcPr>
            <w:tcW w:w="500" w:type="dxa"/>
            <w:vAlign w:val="bottom"/>
            <w:tcBorders>
              <w:right w:val="single" w:sz="8" w:color="58585A"/>
            </w:tcBorders>
          </w:tcPr>
          <w:p>
            <w:pPr>
              <w:spacing w:after="0" w:line="20" w:lineRule="exact"/>
              <w:rPr>
                <w:sz w:val="1"/>
                <w:szCs w:val="1"/>
                <w:color w:val="auto"/>
              </w:rPr>
            </w:pPr>
          </w:p>
        </w:tc>
        <w:tc>
          <w:tcPr>
            <w:tcW w:w="480" w:type="dxa"/>
            <w:vAlign w:val="bottom"/>
            <w:shd w:val="clear" w:color="auto" w:fill="58585A"/>
          </w:tcPr>
          <w:p>
            <w:pPr>
              <w:spacing w:after="0" w:line="20" w:lineRule="exact"/>
              <w:rPr>
                <w:sz w:val="1"/>
                <w:szCs w:val="1"/>
                <w:color w:val="auto"/>
              </w:rPr>
            </w:pPr>
          </w:p>
        </w:tc>
        <w:tc>
          <w:tcPr>
            <w:tcW w:w="80" w:type="dxa"/>
            <w:vAlign w:val="bottom"/>
            <w:shd w:val="clear" w:color="auto" w:fill="58585A"/>
          </w:tcPr>
          <w:p>
            <w:pPr>
              <w:spacing w:after="0" w:line="20" w:lineRule="exact"/>
              <w:rPr>
                <w:sz w:val="1"/>
                <w:szCs w:val="1"/>
                <w:color w:val="auto"/>
              </w:rPr>
            </w:pPr>
          </w:p>
        </w:tc>
        <w:tc>
          <w:tcPr>
            <w:tcW w:w="100" w:type="dxa"/>
            <w:vAlign w:val="bottom"/>
            <w:shd w:val="clear" w:color="auto" w:fill="58585A"/>
          </w:tcPr>
          <w:p>
            <w:pPr>
              <w:spacing w:after="0" w:line="20" w:lineRule="exact"/>
              <w:rPr>
                <w:sz w:val="1"/>
                <w:szCs w:val="1"/>
                <w:color w:val="auto"/>
              </w:rPr>
            </w:pPr>
          </w:p>
        </w:tc>
        <w:tc>
          <w:tcPr>
            <w:tcW w:w="300" w:type="dxa"/>
            <w:vAlign w:val="bottom"/>
            <w:shd w:val="clear" w:color="auto" w:fill="58585A"/>
          </w:tcPr>
          <w:p>
            <w:pPr>
              <w:spacing w:after="0" w:line="20" w:lineRule="exact"/>
              <w:rPr>
                <w:sz w:val="1"/>
                <w:szCs w:val="1"/>
                <w:color w:val="auto"/>
              </w:rPr>
            </w:pPr>
          </w:p>
        </w:tc>
        <w:tc>
          <w:tcPr>
            <w:tcW w:w="80" w:type="dxa"/>
            <w:vAlign w:val="bottom"/>
            <w:tcBorders>
              <w:left w:val="single" w:sz="8" w:color="58585A"/>
            </w:tcBorders>
            <w:shd w:val="clear" w:color="auto" w:fill="58585A"/>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994410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40" w:space="600"/>
            <w:col w:w="5240"/>
          </w:cols>
          <w:pgMar w:left="320" w:top="285" w:right="499" w:bottom="1440" w:gutter="0" w:footer="0" w:header="0"/>
        </w:sectPr>
      </w:pPr>
    </w:p>
    <w:bookmarkStart w:id="5" w:name="page6"/>
    <w:bookmarkEnd w:id="5"/>
    <w:p>
      <w:pPr>
        <w:spacing w:after="0"/>
        <w:rPr>
          <w:sz w:val="20"/>
          <w:szCs w:val="20"/>
          <w:color w:val="auto"/>
        </w:rPr>
      </w:pPr>
      <w:r>
        <w:rPr>
          <w:rFonts w:ascii="Arial" w:cs="Arial" w:eastAsia="Arial" w:hAnsi="Arial"/>
          <w:sz w:val="36"/>
          <w:szCs w:val="36"/>
          <w:b w:val="1"/>
          <w:bCs w:val="1"/>
          <w:color w:val="143964"/>
        </w:rPr>
        <w:t>Summary</w:t>
      </w:r>
    </w:p>
    <w:p>
      <w:pPr>
        <w:spacing w:after="0" w:line="25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58585A"/>
        </w:rPr>
        <w:t>The 2021 Annual Meeting of Shareholders of United Community Banks, Inc. (the “2021 Annual Meeting”) will be held exclusively online via the Internet at 3:00 P.M. Eastern time on Wednesday, May 12, 2021.</w:t>
      </w:r>
    </w:p>
    <w:p>
      <w:pPr>
        <w:spacing w:after="0" w:line="183" w:lineRule="exact"/>
        <w:rPr>
          <w:sz w:val="20"/>
          <w:szCs w:val="20"/>
          <w:color w:val="auto"/>
        </w:rPr>
      </w:pPr>
    </w:p>
    <w:p>
      <w:pPr>
        <w:jc w:val="both"/>
        <w:ind w:right="540"/>
        <w:spacing w:after="0" w:line="238" w:lineRule="auto"/>
        <w:rPr>
          <w:sz w:val="20"/>
          <w:szCs w:val="20"/>
          <w:color w:val="auto"/>
        </w:rPr>
      </w:pPr>
      <w:r>
        <w:rPr>
          <w:rFonts w:ascii="Arial" w:cs="Arial" w:eastAsia="Arial" w:hAnsi="Arial"/>
          <w:sz w:val="18"/>
          <w:szCs w:val="18"/>
          <w:color w:val="58585A"/>
        </w:rPr>
        <w:t>We have tried to make this document simple and easy to understand. The SEC encourages companies to use “plain English,” and we always try to communicate with you clearly and effectively. We will refer to United Community Banks, Inc. throughout as “we,” “us,” the “Company” or “United.” Additionally, unless otherwise noted or required by context, “2021,” “2020,” “2019” and “2018” refer to our fiscal years ended or ending December 31, 2021, 2020, 2019 and 2018,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1278A9"/>
        </w:rPr>
        <w:t>Proxy Materials</w:t>
      </w:r>
    </w:p>
    <w:p>
      <w:pPr>
        <w:spacing w:after="0" w:line="35"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58585A"/>
        </w:rPr>
        <w:t>We plan to send a Notice of Internet Availability of Proxy Materials (the “Notice”) to our shareholders instead of paper copies of our “Proxy Materials” (the Notice of 2021 Annual Meeting of Shareholders and Proxy Statement, our 2020 Annual Report to Shareholders, our Annual Report on Form 10-K for the year ended December 31, 2020 and the Proxy Card or voting instruction form). The Notice, which is expected to be mailed to shareholders on or about March 30, 2021, contains instructions on how to access our Proxy Materials on the Internet or how to request paper or email copies of the Proxy Materials.</w:t>
      </w:r>
    </w:p>
    <w:p>
      <w:pPr>
        <w:spacing w:after="0" w:line="154" w:lineRule="exact"/>
        <w:rPr>
          <w:sz w:val="20"/>
          <w:szCs w:val="20"/>
          <w:color w:val="auto"/>
        </w:rPr>
      </w:pPr>
    </w:p>
    <w:p>
      <w:pPr>
        <w:spacing w:after="0"/>
        <w:rPr>
          <w:sz w:val="20"/>
          <w:szCs w:val="20"/>
          <w:color w:val="auto"/>
        </w:rPr>
      </w:pPr>
      <w:r>
        <w:rPr>
          <w:rFonts w:ascii="Arial" w:cs="Arial" w:eastAsia="Arial" w:hAnsi="Arial"/>
          <w:sz w:val="27"/>
          <w:szCs w:val="27"/>
          <w:b w:val="1"/>
          <w:bCs w:val="1"/>
          <w:color w:val="1278A9"/>
        </w:rPr>
        <w:t>Proposals for Your Vote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151130</wp:posOffset>
            </wp:positionV>
            <wp:extent cx="8255" cy="1200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2001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151130</wp:posOffset>
            </wp:positionV>
            <wp:extent cx="8255" cy="1200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20015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151130</wp:posOffset>
            </wp:positionV>
            <wp:extent cx="8255" cy="1200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20015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0" w:type="dxa"/>
            <w:vAlign w:val="bottom"/>
            <w:shd w:val="clear" w:color="auto" w:fill="1278A9"/>
          </w:tcPr>
          <w:p>
            <w:pPr>
              <w:spacing w:after="0"/>
              <w:rPr>
                <w:sz w:val="22"/>
                <w:szCs w:val="22"/>
                <w:color w:val="auto"/>
              </w:rPr>
            </w:pPr>
          </w:p>
        </w:tc>
        <w:tc>
          <w:tcPr>
            <w:tcW w:w="7180" w:type="dxa"/>
            <w:vAlign w:val="bottom"/>
            <w:shd w:val="clear" w:color="auto" w:fill="1278A9"/>
          </w:tcPr>
          <w:p>
            <w:pPr>
              <w:ind w:left="80"/>
              <w:spacing w:after="0"/>
              <w:rPr>
                <w:sz w:val="20"/>
                <w:szCs w:val="20"/>
                <w:color w:val="auto"/>
              </w:rPr>
            </w:pPr>
            <w:r>
              <w:rPr>
                <w:rFonts w:ascii="Arial" w:cs="Arial" w:eastAsia="Arial" w:hAnsi="Arial"/>
                <w:sz w:val="18"/>
                <w:szCs w:val="18"/>
                <w:color w:val="FFFFFF"/>
              </w:rPr>
              <w:t>Proposal</w:t>
            </w:r>
          </w:p>
        </w:tc>
        <w:tc>
          <w:tcPr>
            <w:tcW w:w="3060" w:type="dxa"/>
            <w:vAlign w:val="bottom"/>
            <w:shd w:val="clear" w:color="auto" w:fill="1278A9"/>
          </w:tcPr>
          <w:p>
            <w:pPr>
              <w:jc w:val="center"/>
              <w:ind w:left="90"/>
              <w:spacing w:after="0"/>
              <w:rPr>
                <w:sz w:val="20"/>
                <w:szCs w:val="20"/>
                <w:color w:val="auto"/>
              </w:rPr>
            </w:pPr>
            <w:r>
              <w:rPr>
                <w:rFonts w:ascii="Arial" w:cs="Arial" w:eastAsia="Arial" w:hAnsi="Arial"/>
                <w:sz w:val="18"/>
                <w:szCs w:val="18"/>
                <w:color w:val="FFFFFF"/>
                <w:w w:val="99"/>
              </w:rPr>
              <w:t>Board Voting Recommendation</w:t>
            </w:r>
          </w:p>
        </w:tc>
        <w:tc>
          <w:tcPr>
            <w:tcW w:w="680" w:type="dxa"/>
            <w:vAlign w:val="bottom"/>
            <w:shd w:val="clear" w:color="auto" w:fill="1278A9"/>
          </w:tcPr>
          <w:p>
            <w:pPr>
              <w:ind w:left="200"/>
              <w:spacing w:after="0"/>
              <w:rPr>
                <w:sz w:val="20"/>
                <w:szCs w:val="20"/>
                <w:color w:val="auto"/>
              </w:rPr>
            </w:pPr>
            <w:r>
              <w:rPr>
                <w:rFonts w:ascii="Arial" w:cs="Arial" w:eastAsia="Arial" w:hAnsi="Arial"/>
                <w:sz w:val="18"/>
                <w:szCs w:val="18"/>
                <w:color w:val="FFFFFF"/>
              </w:rPr>
              <w:t>Page</w:t>
            </w:r>
          </w:p>
        </w:tc>
        <w:tc>
          <w:tcPr>
            <w:tcW w:w="0" w:type="dxa"/>
            <w:vAlign w:val="bottom"/>
          </w:tcPr>
          <w:p>
            <w:pPr>
              <w:spacing w:after="0"/>
              <w:rPr>
                <w:sz w:val="1"/>
                <w:szCs w:val="1"/>
                <w:color w:val="auto"/>
              </w:rPr>
            </w:pPr>
          </w:p>
        </w:tc>
      </w:tr>
      <w:tr>
        <w:trPr>
          <w:trHeight w:val="250"/>
        </w:trPr>
        <w:tc>
          <w:tcPr>
            <w:tcW w:w="320" w:type="dxa"/>
            <w:vAlign w:val="bottom"/>
          </w:tcPr>
          <w:p>
            <w:pPr>
              <w:jc w:val="right"/>
              <w:spacing w:after="0"/>
              <w:rPr>
                <w:sz w:val="20"/>
                <w:szCs w:val="20"/>
                <w:color w:val="auto"/>
              </w:rPr>
            </w:pPr>
            <w:r>
              <w:rPr>
                <w:rFonts w:ascii="Arial" w:cs="Arial" w:eastAsia="Arial" w:hAnsi="Arial"/>
                <w:sz w:val="18"/>
                <w:szCs w:val="18"/>
                <w:color w:val="58585A"/>
              </w:rPr>
              <w:t>1.</w:t>
            </w:r>
          </w:p>
        </w:tc>
        <w:tc>
          <w:tcPr>
            <w:tcW w:w="7180" w:type="dxa"/>
            <w:vAlign w:val="bottom"/>
          </w:tcPr>
          <w:p>
            <w:pPr>
              <w:ind w:left="80"/>
              <w:spacing w:after="0"/>
              <w:rPr>
                <w:sz w:val="20"/>
                <w:szCs w:val="20"/>
                <w:color w:val="auto"/>
              </w:rPr>
            </w:pPr>
            <w:r>
              <w:rPr>
                <w:rFonts w:ascii="Arial" w:cs="Arial" w:eastAsia="Arial" w:hAnsi="Arial"/>
                <w:sz w:val="18"/>
                <w:szCs w:val="18"/>
                <w:color w:val="58585A"/>
              </w:rPr>
              <w:t>Electing Directors</w:t>
            </w:r>
          </w:p>
        </w:tc>
        <w:tc>
          <w:tcPr>
            <w:tcW w:w="3060" w:type="dxa"/>
            <w:vAlign w:val="bottom"/>
          </w:tcPr>
          <w:p>
            <w:pPr>
              <w:jc w:val="center"/>
              <w:ind w:left="90"/>
              <w:spacing w:after="0"/>
              <w:rPr>
                <w:sz w:val="20"/>
                <w:szCs w:val="20"/>
                <w:color w:val="auto"/>
              </w:rPr>
            </w:pPr>
            <w:r>
              <w:rPr>
                <w:rFonts w:ascii="Arial" w:cs="Arial" w:eastAsia="Arial" w:hAnsi="Arial"/>
                <w:sz w:val="18"/>
                <w:szCs w:val="18"/>
                <w:color w:val="58585A"/>
                <w:w w:val="99"/>
              </w:rPr>
              <w:t>“FOR” each nominee</w:t>
            </w:r>
          </w:p>
        </w:tc>
        <w:tc>
          <w:tcPr>
            <w:tcW w:w="680" w:type="dxa"/>
            <w:vAlign w:val="bottom"/>
          </w:tcPr>
          <w:p>
            <w:pPr>
              <w:jc w:val="center"/>
              <w:ind w:left="50"/>
              <w:spacing w:after="0"/>
              <w:rPr>
                <w:sz w:val="20"/>
                <w:szCs w:val="20"/>
                <w:color w:val="auto"/>
              </w:rPr>
            </w:pPr>
            <w:r>
              <w:rPr>
                <w:rFonts w:ascii="Arial" w:cs="Arial" w:eastAsia="Arial" w:hAnsi="Arial"/>
                <w:sz w:val="18"/>
                <w:szCs w:val="18"/>
                <w:color w:val="58585A"/>
                <w:w w:val="99"/>
              </w:rPr>
              <w:t>2</w:t>
            </w:r>
          </w:p>
        </w:tc>
        <w:tc>
          <w:tcPr>
            <w:tcW w:w="0" w:type="dxa"/>
            <w:vAlign w:val="bottom"/>
          </w:tcPr>
          <w:p>
            <w:pPr>
              <w:spacing w:after="0"/>
              <w:rPr>
                <w:sz w:val="1"/>
                <w:szCs w:val="1"/>
                <w:color w:val="auto"/>
              </w:rPr>
            </w:pPr>
          </w:p>
        </w:tc>
      </w:tr>
      <w:tr>
        <w:trPr>
          <w:trHeight w:val="235"/>
        </w:trPr>
        <w:tc>
          <w:tcPr>
            <w:tcW w:w="320" w:type="dxa"/>
            <w:vAlign w:val="bottom"/>
            <w:shd w:val="clear" w:color="auto" w:fill="E5E6E6"/>
          </w:tcPr>
          <w:p>
            <w:pPr>
              <w:jc w:val="right"/>
              <w:spacing w:after="0"/>
              <w:rPr>
                <w:sz w:val="20"/>
                <w:szCs w:val="20"/>
                <w:color w:val="auto"/>
              </w:rPr>
            </w:pPr>
            <w:r>
              <w:rPr>
                <w:rFonts w:ascii="Arial" w:cs="Arial" w:eastAsia="Arial" w:hAnsi="Arial"/>
                <w:sz w:val="18"/>
                <w:szCs w:val="18"/>
                <w:color w:val="58585A"/>
              </w:rPr>
              <w:t>2.</w:t>
            </w:r>
          </w:p>
        </w:tc>
        <w:tc>
          <w:tcPr>
            <w:tcW w:w="7180" w:type="dxa"/>
            <w:vAlign w:val="bottom"/>
            <w:shd w:val="clear" w:color="auto" w:fill="E5E6E6"/>
          </w:tcPr>
          <w:p>
            <w:pPr>
              <w:ind w:left="80"/>
              <w:spacing w:after="0"/>
              <w:rPr>
                <w:sz w:val="20"/>
                <w:szCs w:val="20"/>
                <w:color w:val="auto"/>
              </w:rPr>
            </w:pPr>
            <w:r>
              <w:rPr>
                <w:rFonts w:ascii="Arial" w:cs="Arial" w:eastAsia="Arial" w:hAnsi="Arial"/>
                <w:sz w:val="18"/>
                <w:szCs w:val="18"/>
                <w:color w:val="58585A"/>
              </w:rPr>
              <w:t>Amendment to Our Restated Articles of Incorporation to Increase Our Authorized</w:t>
            </w:r>
          </w:p>
        </w:tc>
        <w:tc>
          <w:tcPr>
            <w:tcW w:w="3060" w:type="dxa"/>
            <w:vAlign w:val="bottom"/>
            <w:vMerge w:val="restart"/>
            <w:shd w:val="clear" w:color="auto" w:fill="E5E6E6"/>
          </w:tcPr>
          <w:p>
            <w:pPr>
              <w:jc w:val="center"/>
              <w:ind w:left="110"/>
              <w:spacing w:after="0"/>
              <w:rPr>
                <w:sz w:val="20"/>
                <w:szCs w:val="20"/>
                <w:color w:val="auto"/>
              </w:rPr>
            </w:pPr>
            <w:r>
              <w:rPr>
                <w:rFonts w:ascii="Arial" w:cs="Arial" w:eastAsia="Arial" w:hAnsi="Arial"/>
                <w:sz w:val="18"/>
                <w:szCs w:val="18"/>
                <w:color w:val="58585A"/>
                <w:w w:val="99"/>
              </w:rPr>
              <w:t>“FOR”</w:t>
            </w:r>
          </w:p>
        </w:tc>
        <w:tc>
          <w:tcPr>
            <w:tcW w:w="680" w:type="dxa"/>
            <w:vAlign w:val="bottom"/>
            <w:vMerge w:val="restart"/>
            <w:shd w:val="clear" w:color="auto" w:fill="E5E6E6"/>
          </w:tcPr>
          <w:p>
            <w:pPr>
              <w:jc w:val="center"/>
              <w:ind w:left="70"/>
              <w:spacing w:after="0"/>
              <w:rPr>
                <w:sz w:val="20"/>
                <w:szCs w:val="20"/>
                <w:color w:val="auto"/>
              </w:rPr>
            </w:pPr>
            <w:r>
              <w:rPr>
                <w:rFonts w:ascii="Arial" w:cs="Arial" w:eastAsia="Arial" w:hAnsi="Arial"/>
                <w:sz w:val="18"/>
                <w:szCs w:val="18"/>
                <w:color w:val="58585A"/>
                <w:w w:val="99"/>
              </w:rPr>
              <w:t>21</w:t>
            </w:r>
          </w:p>
        </w:tc>
        <w:tc>
          <w:tcPr>
            <w:tcW w:w="0" w:type="dxa"/>
            <w:vAlign w:val="bottom"/>
          </w:tcPr>
          <w:p>
            <w:pPr>
              <w:spacing w:after="0"/>
              <w:rPr>
                <w:sz w:val="1"/>
                <w:szCs w:val="1"/>
                <w:color w:val="auto"/>
              </w:rPr>
            </w:pPr>
          </w:p>
        </w:tc>
      </w:tr>
      <w:tr>
        <w:trPr>
          <w:trHeight w:val="230"/>
        </w:trPr>
        <w:tc>
          <w:tcPr>
            <w:tcW w:w="320" w:type="dxa"/>
            <w:vAlign w:val="bottom"/>
            <w:shd w:val="clear" w:color="auto" w:fill="E5E6E6"/>
          </w:tcPr>
          <w:p>
            <w:pPr>
              <w:spacing w:after="0"/>
              <w:rPr>
                <w:sz w:val="20"/>
                <w:szCs w:val="20"/>
                <w:color w:val="auto"/>
              </w:rPr>
            </w:pPr>
          </w:p>
        </w:tc>
        <w:tc>
          <w:tcPr>
            <w:tcW w:w="7180" w:type="dxa"/>
            <w:vAlign w:val="bottom"/>
            <w:shd w:val="clear" w:color="auto" w:fill="E5E6E6"/>
          </w:tcPr>
          <w:p>
            <w:pPr>
              <w:ind w:left="80"/>
              <w:spacing w:after="0"/>
              <w:rPr>
                <w:sz w:val="20"/>
                <w:szCs w:val="20"/>
                <w:color w:val="auto"/>
              </w:rPr>
            </w:pPr>
            <w:r>
              <w:rPr>
                <w:rFonts w:ascii="Arial" w:cs="Arial" w:eastAsia="Arial" w:hAnsi="Arial"/>
                <w:sz w:val="18"/>
                <w:szCs w:val="18"/>
                <w:color w:val="58585A"/>
              </w:rPr>
              <w:t>Capitalization</w:t>
            </w:r>
          </w:p>
        </w:tc>
        <w:tc>
          <w:tcPr>
            <w:tcW w:w="3060" w:type="dxa"/>
            <w:vAlign w:val="bottom"/>
            <w:vMerge w:val="continue"/>
            <w:shd w:val="clear" w:color="auto" w:fill="E5E6E6"/>
          </w:tcPr>
          <w:p>
            <w:pPr>
              <w:spacing w:after="0"/>
              <w:rPr>
                <w:sz w:val="20"/>
                <w:szCs w:val="20"/>
                <w:color w:val="auto"/>
              </w:rPr>
            </w:pPr>
          </w:p>
        </w:tc>
        <w:tc>
          <w:tcPr>
            <w:tcW w:w="680" w:type="dxa"/>
            <w:vAlign w:val="bottom"/>
            <w:vMerge w:val="continue"/>
            <w:shd w:val="clear" w:color="auto" w:fill="E5E6E6"/>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 w:type="dxa"/>
            <w:vAlign w:val="bottom"/>
          </w:tcPr>
          <w:p>
            <w:pPr>
              <w:jc w:val="right"/>
              <w:spacing w:after="0"/>
              <w:rPr>
                <w:sz w:val="20"/>
                <w:szCs w:val="20"/>
                <w:color w:val="auto"/>
              </w:rPr>
            </w:pPr>
            <w:r>
              <w:rPr>
                <w:rFonts w:ascii="Arial" w:cs="Arial" w:eastAsia="Arial" w:hAnsi="Arial"/>
                <w:sz w:val="18"/>
                <w:szCs w:val="18"/>
                <w:color w:val="58585A"/>
              </w:rPr>
              <w:t>3.</w:t>
            </w:r>
          </w:p>
        </w:tc>
        <w:tc>
          <w:tcPr>
            <w:tcW w:w="7180" w:type="dxa"/>
            <w:vAlign w:val="bottom"/>
          </w:tcPr>
          <w:p>
            <w:pPr>
              <w:ind w:left="80"/>
              <w:spacing w:after="0"/>
              <w:rPr>
                <w:sz w:val="20"/>
                <w:szCs w:val="20"/>
                <w:color w:val="auto"/>
              </w:rPr>
            </w:pPr>
            <w:r>
              <w:rPr>
                <w:rFonts w:ascii="Arial" w:cs="Arial" w:eastAsia="Arial" w:hAnsi="Arial"/>
                <w:sz w:val="18"/>
                <w:szCs w:val="18"/>
                <w:color w:val="58585A"/>
              </w:rPr>
              <w:t>Approving Our Executive Compensation</w:t>
            </w:r>
          </w:p>
        </w:tc>
        <w:tc>
          <w:tcPr>
            <w:tcW w:w="3060" w:type="dxa"/>
            <w:vAlign w:val="bottom"/>
            <w:vMerge w:val="restart"/>
          </w:tcPr>
          <w:p>
            <w:pPr>
              <w:jc w:val="center"/>
              <w:ind w:left="110"/>
              <w:spacing w:after="0"/>
              <w:rPr>
                <w:sz w:val="20"/>
                <w:szCs w:val="20"/>
                <w:color w:val="auto"/>
              </w:rPr>
            </w:pPr>
            <w:r>
              <w:rPr>
                <w:rFonts w:ascii="Arial" w:cs="Arial" w:eastAsia="Arial" w:hAnsi="Arial"/>
                <w:sz w:val="18"/>
                <w:szCs w:val="18"/>
                <w:color w:val="58585A"/>
                <w:w w:val="99"/>
              </w:rPr>
              <w:t>“FOR”</w:t>
            </w:r>
          </w:p>
        </w:tc>
        <w:tc>
          <w:tcPr>
            <w:tcW w:w="680" w:type="dxa"/>
            <w:vAlign w:val="bottom"/>
            <w:vMerge w:val="restart"/>
          </w:tcPr>
          <w:p>
            <w:pPr>
              <w:jc w:val="center"/>
              <w:ind w:left="70"/>
              <w:spacing w:after="0"/>
              <w:rPr>
                <w:sz w:val="20"/>
                <w:szCs w:val="20"/>
                <w:color w:val="auto"/>
              </w:rPr>
            </w:pPr>
            <w:r>
              <w:rPr>
                <w:rFonts w:ascii="Arial" w:cs="Arial" w:eastAsia="Arial" w:hAnsi="Arial"/>
                <w:sz w:val="18"/>
                <w:szCs w:val="18"/>
                <w:color w:val="58585A"/>
                <w:w w:val="99"/>
              </w:rPr>
              <w:t>23</w:t>
            </w: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7180" w:type="dxa"/>
            <w:vAlign w:val="bottom"/>
          </w:tcPr>
          <w:p>
            <w:pPr>
              <w:ind w:left="80"/>
              <w:spacing w:after="0"/>
              <w:rPr>
                <w:sz w:val="20"/>
                <w:szCs w:val="20"/>
                <w:color w:val="auto"/>
              </w:rPr>
            </w:pPr>
            <w:r>
              <w:rPr>
                <w:rFonts w:ascii="Arial" w:cs="Arial" w:eastAsia="Arial" w:hAnsi="Arial"/>
                <w:sz w:val="18"/>
                <w:szCs w:val="18"/>
                <w:color w:val="58585A"/>
              </w:rPr>
              <w:t>(“Say-on-Pay” Proposal)</w:t>
            </w:r>
          </w:p>
        </w:tc>
        <w:tc>
          <w:tcPr>
            <w:tcW w:w="30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20" w:type="dxa"/>
            <w:vAlign w:val="bottom"/>
            <w:shd w:val="clear" w:color="auto" w:fill="E5E6E6"/>
          </w:tcPr>
          <w:p>
            <w:pPr>
              <w:jc w:val="right"/>
              <w:spacing w:after="0"/>
              <w:rPr>
                <w:sz w:val="20"/>
                <w:szCs w:val="20"/>
                <w:color w:val="auto"/>
              </w:rPr>
            </w:pPr>
            <w:r>
              <w:rPr>
                <w:rFonts w:ascii="Arial" w:cs="Arial" w:eastAsia="Arial" w:hAnsi="Arial"/>
                <w:sz w:val="18"/>
                <w:szCs w:val="18"/>
                <w:color w:val="58585A"/>
              </w:rPr>
              <w:t>4.</w:t>
            </w:r>
          </w:p>
        </w:tc>
        <w:tc>
          <w:tcPr>
            <w:tcW w:w="7180" w:type="dxa"/>
            <w:vAlign w:val="bottom"/>
            <w:shd w:val="clear" w:color="auto" w:fill="E5E6E6"/>
          </w:tcPr>
          <w:p>
            <w:pPr>
              <w:ind w:left="80"/>
              <w:spacing w:after="0"/>
              <w:rPr>
                <w:sz w:val="20"/>
                <w:szCs w:val="20"/>
                <w:color w:val="auto"/>
              </w:rPr>
            </w:pPr>
            <w:r>
              <w:rPr>
                <w:rFonts w:ascii="Arial" w:cs="Arial" w:eastAsia="Arial" w:hAnsi="Arial"/>
                <w:sz w:val="18"/>
                <w:szCs w:val="18"/>
                <w:color w:val="58585A"/>
              </w:rPr>
              <w:t>Ratifying the Appointment of Our Independent Registered Public Accounting Firm for</w:t>
            </w:r>
          </w:p>
        </w:tc>
        <w:tc>
          <w:tcPr>
            <w:tcW w:w="3060" w:type="dxa"/>
            <w:vAlign w:val="bottom"/>
            <w:vMerge w:val="restart"/>
            <w:shd w:val="clear" w:color="auto" w:fill="E5E6E6"/>
          </w:tcPr>
          <w:p>
            <w:pPr>
              <w:jc w:val="center"/>
              <w:ind w:left="110"/>
              <w:spacing w:after="0"/>
              <w:rPr>
                <w:sz w:val="20"/>
                <w:szCs w:val="20"/>
                <w:color w:val="auto"/>
              </w:rPr>
            </w:pPr>
            <w:r>
              <w:rPr>
                <w:rFonts w:ascii="Arial" w:cs="Arial" w:eastAsia="Arial" w:hAnsi="Arial"/>
                <w:sz w:val="18"/>
                <w:szCs w:val="18"/>
                <w:color w:val="58585A"/>
                <w:w w:val="99"/>
              </w:rPr>
              <w:t>“FOR”</w:t>
            </w:r>
          </w:p>
        </w:tc>
        <w:tc>
          <w:tcPr>
            <w:tcW w:w="680" w:type="dxa"/>
            <w:vAlign w:val="bottom"/>
            <w:vMerge w:val="restart"/>
            <w:shd w:val="clear" w:color="auto" w:fill="E5E6E6"/>
          </w:tcPr>
          <w:p>
            <w:pPr>
              <w:jc w:val="center"/>
              <w:ind w:left="70"/>
              <w:spacing w:after="0"/>
              <w:rPr>
                <w:sz w:val="20"/>
                <w:szCs w:val="20"/>
                <w:color w:val="auto"/>
              </w:rPr>
            </w:pPr>
            <w:r>
              <w:rPr>
                <w:rFonts w:ascii="Arial" w:cs="Arial" w:eastAsia="Arial" w:hAnsi="Arial"/>
                <w:sz w:val="18"/>
                <w:szCs w:val="18"/>
                <w:color w:val="58585A"/>
                <w:w w:val="99"/>
              </w:rPr>
              <w:t>52</w:t>
            </w:r>
          </w:p>
        </w:tc>
        <w:tc>
          <w:tcPr>
            <w:tcW w:w="0" w:type="dxa"/>
            <w:vAlign w:val="bottom"/>
          </w:tcPr>
          <w:p>
            <w:pPr>
              <w:spacing w:after="0"/>
              <w:rPr>
                <w:sz w:val="1"/>
                <w:szCs w:val="1"/>
                <w:color w:val="auto"/>
              </w:rPr>
            </w:pPr>
          </w:p>
        </w:tc>
      </w:tr>
      <w:tr>
        <w:trPr>
          <w:trHeight w:val="230"/>
        </w:trPr>
        <w:tc>
          <w:tcPr>
            <w:tcW w:w="320" w:type="dxa"/>
            <w:vAlign w:val="bottom"/>
            <w:shd w:val="clear" w:color="auto" w:fill="E5E6E6"/>
          </w:tcPr>
          <w:p>
            <w:pPr>
              <w:spacing w:after="0"/>
              <w:rPr>
                <w:sz w:val="20"/>
                <w:szCs w:val="20"/>
                <w:color w:val="auto"/>
              </w:rPr>
            </w:pPr>
          </w:p>
        </w:tc>
        <w:tc>
          <w:tcPr>
            <w:tcW w:w="7180" w:type="dxa"/>
            <w:vAlign w:val="bottom"/>
            <w:shd w:val="clear" w:color="auto" w:fill="E5E6E6"/>
          </w:tcPr>
          <w:p>
            <w:pPr>
              <w:ind w:left="80"/>
              <w:spacing w:after="0"/>
              <w:rPr>
                <w:sz w:val="20"/>
                <w:szCs w:val="20"/>
                <w:color w:val="auto"/>
              </w:rPr>
            </w:pPr>
            <w:r>
              <w:rPr>
                <w:rFonts w:ascii="Arial" w:cs="Arial" w:eastAsia="Arial" w:hAnsi="Arial"/>
                <w:sz w:val="18"/>
                <w:szCs w:val="18"/>
                <w:color w:val="58585A"/>
              </w:rPr>
              <w:t>2021</w:t>
            </w:r>
          </w:p>
        </w:tc>
        <w:tc>
          <w:tcPr>
            <w:tcW w:w="3060" w:type="dxa"/>
            <w:vAlign w:val="bottom"/>
            <w:vMerge w:val="continue"/>
            <w:shd w:val="clear" w:color="auto" w:fill="E5E6E6"/>
          </w:tcPr>
          <w:p>
            <w:pPr>
              <w:spacing w:after="0"/>
              <w:rPr>
                <w:sz w:val="20"/>
                <w:szCs w:val="20"/>
                <w:color w:val="auto"/>
              </w:rPr>
            </w:pPr>
          </w:p>
        </w:tc>
        <w:tc>
          <w:tcPr>
            <w:tcW w:w="680" w:type="dxa"/>
            <w:vAlign w:val="bottom"/>
            <w:vMerge w:val="continue"/>
            <w:shd w:val="clear" w:color="auto" w:fill="E5E6E6"/>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27"/>
          <w:szCs w:val="27"/>
          <w:b w:val="1"/>
          <w:bCs w:val="1"/>
          <w:color w:val="1278A9"/>
        </w:rPr>
        <w:t>Voting Your Shares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58585A"/>
        </w:rPr>
        <w:t>It is important that your shares be represented at the 2021 Annual Meeting. We urge you to please vote your proxy in advance of the 2021</w:t>
      </w:r>
    </w:p>
    <w:p>
      <w:pPr>
        <w:spacing w:after="0"/>
        <w:rPr>
          <w:sz w:val="20"/>
          <w:szCs w:val="20"/>
          <w:color w:val="auto"/>
        </w:rPr>
      </w:pPr>
      <w:r>
        <w:rPr>
          <w:rFonts w:ascii="Arial" w:cs="Arial" w:eastAsia="Arial" w:hAnsi="Arial"/>
          <w:sz w:val="18"/>
          <w:szCs w:val="18"/>
          <w:color w:val="58585A"/>
        </w:rPr>
        <w:t>Annual Meeting to ensure that your shares will be represented either:</w:t>
      </w:r>
    </w:p>
    <w:p>
      <w:pPr>
        <w:spacing w:after="0" w:line="225" w:lineRule="exact"/>
        <w:rPr>
          <w:sz w:val="20"/>
          <w:szCs w:val="20"/>
          <w:color w:val="auto"/>
        </w:rPr>
      </w:pPr>
    </w:p>
    <w:p>
      <w:pPr>
        <w:ind w:left="580" w:hanging="329"/>
        <w:spacing w:after="0"/>
        <w:tabs>
          <w:tab w:leader="none" w:pos="580" w:val="left"/>
        </w:tabs>
        <w:numPr>
          <w:ilvl w:val="0"/>
          <w:numId w:val="6"/>
        </w:numPr>
        <w:rPr>
          <w:rFonts w:ascii="Arial" w:cs="Arial" w:eastAsia="Arial" w:hAnsi="Arial"/>
          <w:sz w:val="18"/>
          <w:szCs w:val="18"/>
          <w:color w:val="58585A"/>
        </w:rPr>
      </w:pPr>
      <w:r>
        <w:rPr>
          <w:rFonts w:ascii="Arial" w:cs="Arial" w:eastAsia="Arial" w:hAnsi="Arial"/>
          <w:sz w:val="18"/>
          <w:szCs w:val="18"/>
          <w:color w:val="58585A"/>
        </w:rPr>
        <w:t>By Internet: Access www.proxyvote.com (you will need the control number from your Notice); or</w:t>
      </w:r>
    </w:p>
    <w:p>
      <w:pPr>
        <w:spacing w:after="0" w:line="49" w:lineRule="exact"/>
        <w:rPr>
          <w:rFonts w:ascii="Arial" w:cs="Arial" w:eastAsia="Arial" w:hAnsi="Arial"/>
          <w:sz w:val="18"/>
          <w:szCs w:val="18"/>
          <w:color w:val="58585A"/>
        </w:rPr>
      </w:pPr>
    </w:p>
    <w:p>
      <w:pPr>
        <w:ind w:left="580" w:right="780" w:hanging="329"/>
        <w:spacing w:after="0" w:line="246" w:lineRule="auto"/>
        <w:tabs>
          <w:tab w:leader="none" w:pos="580" w:val="left"/>
        </w:tabs>
        <w:numPr>
          <w:ilvl w:val="0"/>
          <w:numId w:val="6"/>
        </w:numPr>
        <w:rPr>
          <w:rFonts w:ascii="Arial" w:cs="Arial" w:eastAsia="Arial" w:hAnsi="Arial"/>
          <w:sz w:val="18"/>
          <w:szCs w:val="18"/>
          <w:color w:val="58585A"/>
        </w:rPr>
      </w:pPr>
      <w:r>
        <w:rPr>
          <w:rFonts w:ascii="Arial" w:cs="Arial" w:eastAsia="Arial" w:hAnsi="Arial"/>
          <w:sz w:val="18"/>
          <w:szCs w:val="18"/>
          <w:color w:val="58585A"/>
        </w:rPr>
        <w:t>By Telephone: Call the toll-free number specified after accessing the Proxy Materials on www.proxyvote.com or on the Proxy Card that you receive if you requested printed copies of the Proxy Materials; or</w:t>
      </w:r>
    </w:p>
    <w:p>
      <w:pPr>
        <w:spacing w:after="0" w:line="34" w:lineRule="exact"/>
        <w:rPr>
          <w:rFonts w:ascii="Arial" w:cs="Arial" w:eastAsia="Arial" w:hAnsi="Arial"/>
          <w:sz w:val="18"/>
          <w:szCs w:val="18"/>
          <w:color w:val="58585A"/>
        </w:rPr>
      </w:pPr>
    </w:p>
    <w:p>
      <w:pPr>
        <w:ind w:left="580" w:hanging="329"/>
        <w:spacing w:after="0"/>
        <w:tabs>
          <w:tab w:leader="none" w:pos="580" w:val="left"/>
        </w:tabs>
        <w:numPr>
          <w:ilvl w:val="0"/>
          <w:numId w:val="6"/>
        </w:numPr>
        <w:rPr>
          <w:rFonts w:ascii="Arial" w:cs="Arial" w:eastAsia="Arial" w:hAnsi="Arial"/>
          <w:sz w:val="18"/>
          <w:szCs w:val="18"/>
          <w:color w:val="58585A"/>
        </w:rPr>
      </w:pPr>
      <w:r>
        <w:rPr>
          <w:rFonts w:ascii="Arial" w:cs="Arial" w:eastAsia="Arial" w:hAnsi="Arial"/>
          <w:sz w:val="18"/>
          <w:szCs w:val="18"/>
          <w:color w:val="58585A"/>
        </w:rPr>
        <w:t>By Mail: Request paper copies of the Proxy Materials which will include a Proxy Card that includes instructions for voting by mail.</w:t>
      </w:r>
    </w:p>
    <w:p>
      <w:pPr>
        <w:spacing w:after="0" w:line="22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58585A"/>
        </w:rPr>
        <w:t>You may also vote during the 2021 Annual Meeting by following the instructions available on the meeting website during the meeting. We hope you will participate in the 2021 Annual Meeting. However, even if you anticipate participating in the virtual meeting, we urge you to please vote your proxy either by Internet, telephone or mail in advance of the Annual Meeting to ensure that your shares will be represented.</w:t>
      </w:r>
    </w:p>
    <w:p>
      <w:pPr>
        <w:spacing w:after="0" w:line="191" w:lineRule="exact"/>
        <w:rPr>
          <w:sz w:val="20"/>
          <w:szCs w:val="20"/>
          <w:color w:val="auto"/>
        </w:rPr>
      </w:pPr>
    </w:p>
    <w:p>
      <w:pPr>
        <w:ind w:right="360"/>
        <w:spacing w:after="0"/>
        <w:rPr>
          <w:sz w:val="20"/>
          <w:szCs w:val="20"/>
          <w:color w:val="auto"/>
        </w:rPr>
      </w:pPr>
      <w:r>
        <w:rPr>
          <w:rFonts w:ascii="Arial" w:cs="Arial" w:eastAsia="Arial" w:hAnsi="Arial"/>
          <w:sz w:val="18"/>
          <w:szCs w:val="18"/>
          <w:color w:val="58585A"/>
        </w:rPr>
        <w:t>If your shares are held by a broker, bank or other nominee (this is called “street name”), your broker, bank or other nominee will send you instructions for voting those shares. Many (but not all) brokerage firms, banks and other nominees participate in a program that offers various voting options.</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1278A9"/>
        </w:rPr>
        <w:t>Participating in the Virtual 2021 Annual Meeting</w:t>
      </w:r>
    </w:p>
    <w:p>
      <w:pPr>
        <w:spacing w:after="0" w:line="35"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58585A"/>
        </w:rPr>
        <w:t>To be admitted to the 2021 Annual Meeting at www. virtualshareholdermeeting.com/UCBI2021, you must enter the control number found on your Notice, Proxy Card or voting instruction form that you receive.</w:t>
      </w:r>
    </w:p>
    <w:p>
      <w:pPr>
        <w:spacing w:after="0" w:line="149" w:lineRule="exact"/>
        <w:rPr>
          <w:sz w:val="20"/>
          <w:szCs w:val="20"/>
          <w:color w:val="auto"/>
        </w:rPr>
      </w:pPr>
    </w:p>
    <w:p>
      <w:pPr>
        <w:spacing w:after="0"/>
        <w:rPr>
          <w:sz w:val="20"/>
          <w:szCs w:val="20"/>
          <w:color w:val="auto"/>
        </w:rPr>
      </w:pPr>
      <w:r>
        <w:rPr>
          <w:rFonts w:ascii="Arial" w:cs="Arial" w:eastAsia="Arial" w:hAnsi="Arial"/>
          <w:sz w:val="27"/>
          <w:szCs w:val="27"/>
          <w:b w:val="1"/>
          <w:bCs w:val="1"/>
          <w:color w:val="1278A9"/>
        </w:rPr>
        <w:t>Additional Information</w:t>
      </w:r>
    </w:p>
    <w:p>
      <w:pPr>
        <w:spacing w:after="0" w:line="3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58585A"/>
        </w:rPr>
        <w:t>See Solicitation, Meeting, and Voting Information on page 54 for additional information about our Proxy Materials, proposals for your vote at the 2021 Annual Meeting, voting your shares and participating in the virtual 2021 Annual Meeting.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6" w:name="page7"/>
    <w:bookmarkEnd w:id="6"/>
    <w:p>
      <w:pPr>
        <w:spacing w:after="0"/>
        <w:rPr>
          <w:sz w:val="20"/>
          <w:szCs w:val="20"/>
          <w:color w:val="auto"/>
        </w:rPr>
      </w:pPr>
      <w:r>
        <w:rPr>
          <w:rFonts w:ascii="Arial" w:cs="Arial" w:eastAsia="Arial" w:hAnsi="Arial"/>
          <w:sz w:val="36"/>
          <w:szCs w:val="36"/>
          <w:b w:val="1"/>
          <w:bCs w:val="1"/>
          <w:color w:val="143964"/>
        </w:rPr>
        <w:t>Proposal 1: Election of Directors</w:t>
      </w:r>
    </w:p>
    <w:p>
      <w:pPr>
        <w:spacing w:after="0" w:line="25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58585A"/>
        </w:rPr>
        <w:t>The Board of Directors (the “Board”) has nominated 11 directors, who, if elected by shareholders at the 2021 Annual Meeting, will be expected to serve until next year’s annual meeting and until their respective successors are elected and qualified. All nominees currently serve as directors on our Board. Other than James P. Clements, who was appointed to our Board in August 2020, all nominees were elected by you at our 2020 Annual Meeting of Shareholders. Each director nominee has consented to being named in this Proxy Statement and to serving as a director if elected. If any nominee is unable to stand for election for any reason, the shares represented at our 2021 Annual Meeting may be voted for another candidate proposed by our Board, or our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p>
      <w:pPr>
        <w:spacing w:after="0" w:line="278" w:lineRule="exact"/>
        <w:rPr>
          <w:sz w:val="20"/>
          <w:szCs w:val="20"/>
          <w:color w:val="auto"/>
        </w:rPr>
      </w:pPr>
    </w:p>
    <w:p>
      <w:pPr>
        <w:ind w:left="560"/>
        <w:spacing w:after="0"/>
        <w:rPr>
          <w:sz w:val="20"/>
          <w:szCs w:val="20"/>
          <w:color w:val="auto"/>
        </w:rPr>
      </w:pPr>
      <w:r>
        <w:rPr>
          <w:rFonts w:ascii="Arial" w:cs="Arial" w:eastAsia="Arial" w:hAnsi="Arial"/>
          <w:sz w:val="14"/>
          <w:szCs w:val="14"/>
          <w:color w:val="FFFFFF"/>
        </w:rPr>
        <w:t>Nominee</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color w:val="58585A"/>
        </w:rPr>
        <w:t>Robert H.</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4"/>
          <w:szCs w:val="14"/>
          <w:color w:val="58585A"/>
        </w:rPr>
        <w:t>Blalock</w:t>
      </w:r>
    </w:p>
    <w:p>
      <w:pPr>
        <w:spacing w:after="0" w:line="244" w:lineRule="exact"/>
        <w:rPr>
          <w:sz w:val="20"/>
          <w:szCs w:val="20"/>
          <w:color w:val="auto"/>
        </w:rPr>
      </w:pPr>
    </w:p>
    <w:p>
      <w:pPr>
        <w:ind w:left="540"/>
        <w:spacing w:after="0"/>
        <w:rPr>
          <w:sz w:val="20"/>
          <w:szCs w:val="20"/>
          <w:color w:val="auto"/>
        </w:rPr>
      </w:pPr>
      <w:r>
        <w:rPr>
          <w:rFonts w:ascii="Arial" w:cs="Arial" w:eastAsia="Arial" w:hAnsi="Arial"/>
          <w:sz w:val="14"/>
          <w:szCs w:val="14"/>
          <w:color w:val="58585A"/>
        </w:rPr>
        <w:t>James P.</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58585A"/>
        </w:rPr>
        <w:t>Clements</w:t>
      </w:r>
    </w:p>
    <w:p>
      <w:pPr>
        <w:spacing w:after="0" w:line="325" w:lineRule="exact"/>
        <w:rPr>
          <w:sz w:val="20"/>
          <w:szCs w:val="20"/>
          <w:color w:val="auto"/>
        </w:rPr>
      </w:pPr>
    </w:p>
    <w:p>
      <w:pPr>
        <w:ind w:left="440"/>
        <w:spacing w:after="0"/>
        <w:rPr>
          <w:sz w:val="20"/>
          <w:szCs w:val="20"/>
          <w:color w:val="auto"/>
        </w:rPr>
      </w:pPr>
      <w:r>
        <w:rPr>
          <w:rFonts w:ascii="Arial" w:cs="Arial" w:eastAsia="Arial" w:hAnsi="Arial"/>
          <w:sz w:val="14"/>
          <w:szCs w:val="14"/>
          <w:color w:val="58585A"/>
        </w:rPr>
        <w:t>L. Cathy Cox</w:t>
      </w: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4"/>
          <w:szCs w:val="14"/>
          <w:color w:val="58585A"/>
        </w:rPr>
        <w:t>Kenneth L.</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58585A"/>
        </w:rPr>
        <w:t>Daniels</w:t>
      </w: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Arial" w:cs="Arial" w:eastAsia="Arial" w:hAnsi="Arial"/>
          <w:sz w:val="14"/>
          <w:szCs w:val="14"/>
          <w:color w:val="58585A"/>
        </w:rPr>
        <w:t>Lance F.</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58585A"/>
        </w:rPr>
        <w:t>Drummond</w:t>
      </w: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4"/>
          <w:szCs w:val="14"/>
          <w:color w:val="58585A"/>
        </w:rPr>
        <w:t>H. Lynn Harton</w:t>
      </w:r>
    </w:p>
    <w:p>
      <w:pPr>
        <w:spacing w:after="0" w:line="200" w:lineRule="exact"/>
        <w:rPr>
          <w:sz w:val="20"/>
          <w:szCs w:val="20"/>
          <w:color w:val="auto"/>
        </w:rPr>
      </w:pPr>
    </w:p>
    <w:p>
      <w:pPr>
        <w:spacing w:after="0" w:line="287" w:lineRule="exact"/>
        <w:rPr>
          <w:sz w:val="20"/>
          <w:szCs w:val="20"/>
          <w:color w:val="auto"/>
        </w:rPr>
      </w:pPr>
    </w:p>
    <w:p>
      <w:pPr>
        <w:ind w:left="480"/>
        <w:spacing w:after="0"/>
        <w:rPr>
          <w:sz w:val="20"/>
          <w:szCs w:val="20"/>
          <w:color w:val="auto"/>
        </w:rPr>
      </w:pPr>
      <w:r>
        <w:rPr>
          <w:rFonts w:ascii="Arial" w:cs="Arial" w:eastAsia="Arial" w:hAnsi="Arial"/>
          <w:sz w:val="14"/>
          <w:szCs w:val="14"/>
          <w:color w:val="58585A"/>
        </w:rPr>
        <w:t>Jennifer K.</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58585A"/>
        </w:rPr>
        <w:t>Mann</w:t>
      </w:r>
    </w:p>
    <w:p>
      <w:pPr>
        <w:spacing w:after="0" w:line="200" w:lineRule="exact"/>
        <w:rPr>
          <w:sz w:val="20"/>
          <w:szCs w:val="20"/>
          <w:color w:val="auto"/>
        </w:rPr>
      </w:pPr>
    </w:p>
    <w:p>
      <w:pPr>
        <w:spacing w:after="0" w:line="368" w:lineRule="exact"/>
        <w:rPr>
          <w:sz w:val="20"/>
          <w:szCs w:val="20"/>
          <w:color w:val="auto"/>
        </w:rPr>
      </w:pPr>
    </w:p>
    <w:p>
      <w:pPr>
        <w:ind w:left="480"/>
        <w:spacing w:after="0"/>
        <w:rPr>
          <w:sz w:val="20"/>
          <w:szCs w:val="20"/>
          <w:color w:val="auto"/>
        </w:rPr>
      </w:pPr>
      <w:r>
        <w:rPr>
          <w:rFonts w:ascii="Arial" w:cs="Arial" w:eastAsia="Arial" w:hAnsi="Arial"/>
          <w:sz w:val="14"/>
          <w:szCs w:val="14"/>
          <w:color w:val="58585A"/>
        </w:rPr>
        <w:t>Thomas A.</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58585A"/>
        </w:rPr>
        <w:t>Richlovsky</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4"/>
          <w:szCs w:val="14"/>
          <w:color w:val="58585A"/>
        </w:rPr>
        <w:t>David C. Shaver</w:t>
      </w: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Arial" w:cs="Arial" w:eastAsia="Arial" w:hAnsi="Arial"/>
          <w:sz w:val="14"/>
          <w:szCs w:val="14"/>
          <w:color w:val="58585A"/>
        </w:rPr>
        <w:t>Tim R. Wallis</w:t>
      </w:r>
    </w:p>
    <w:p>
      <w:pPr>
        <w:spacing w:after="0" w:line="200" w:lineRule="exact"/>
        <w:rPr>
          <w:sz w:val="20"/>
          <w:szCs w:val="20"/>
          <w:color w:val="auto"/>
        </w:rPr>
      </w:pPr>
    </w:p>
    <w:p>
      <w:pPr>
        <w:spacing w:after="0" w:line="287" w:lineRule="exact"/>
        <w:rPr>
          <w:sz w:val="20"/>
          <w:szCs w:val="20"/>
          <w:color w:val="auto"/>
        </w:rPr>
      </w:pPr>
    </w:p>
    <w:p>
      <w:pPr>
        <w:ind w:left="320" w:firstLine="100"/>
        <w:spacing w:after="0" w:line="258" w:lineRule="auto"/>
        <w:rPr>
          <w:sz w:val="20"/>
          <w:szCs w:val="20"/>
          <w:color w:val="auto"/>
        </w:rPr>
      </w:pPr>
      <w:r>
        <w:rPr>
          <w:rFonts w:ascii="Arial" w:cs="Arial" w:eastAsia="Arial" w:hAnsi="Arial"/>
          <w:sz w:val="14"/>
          <w:szCs w:val="14"/>
          <w:color w:val="58585A"/>
        </w:rPr>
        <w:t>Ambassador David H. Wilkins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spacing w:after="0"/>
              <w:rPr>
                <w:sz w:val="20"/>
                <w:szCs w:val="20"/>
                <w:color w:val="auto"/>
              </w:rPr>
            </w:pPr>
            <w:r>
              <w:rPr>
                <w:rFonts w:ascii="Arial" w:cs="Arial" w:eastAsia="Arial" w:hAnsi="Arial"/>
                <w:sz w:val="14"/>
                <w:szCs w:val="14"/>
                <w:color w:val="FFFFFF"/>
              </w:rPr>
              <w:t>Age</w:t>
            </w:r>
          </w:p>
        </w:tc>
        <w:tc>
          <w:tcPr>
            <w:tcW w:w="1580" w:type="dxa"/>
            <w:vAlign w:val="bottom"/>
          </w:tcPr>
          <w:p>
            <w:pPr>
              <w:ind w:left="260"/>
              <w:spacing w:after="0"/>
              <w:rPr>
                <w:sz w:val="20"/>
                <w:szCs w:val="20"/>
                <w:color w:val="auto"/>
              </w:rPr>
            </w:pPr>
            <w:r>
              <w:rPr>
                <w:rFonts w:ascii="Arial" w:cs="Arial" w:eastAsia="Arial" w:hAnsi="Arial"/>
                <w:sz w:val="14"/>
                <w:szCs w:val="14"/>
                <w:color w:val="FFFFFF"/>
              </w:rPr>
              <w:t>Principal Occupation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41910</wp:posOffset>
            </wp:positionV>
            <wp:extent cx="889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41910</wp:posOffset>
            </wp:positionV>
            <wp:extent cx="889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41910</wp:posOffset>
            </wp:positionV>
            <wp:extent cx="889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4"/>
          <w:szCs w:val="14"/>
          <w:color w:val="58585A"/>
        </w:rPr>
        <w:t>Chief Executive Officer,</w:t>
      </w:r>
    </w:p>
    <w:p>
      <w:pPr>
        <w:spacing w:after="0" w:line="1" w:lineRule="exact"/>
        <w:rPr>
          <w:sz w:val="20"/>
          <w:szCs w:val="20"/>
          <w:color w:val="auto"/>
        </w:rPr>
      </w:pPr>
    </w:p>
    <w:p>
      <w:pPr>
        <w:ind w:left="1040" w:right="440" w:hanging="994"/>
        <w:spacing w:after="0" w:line="183" w:lineRule="auto"/>
        <w:tabs>
          <w:tab w:leader="none" w:pos="843" w:val="left"/>
        </w:tabs>
        <w:numPr>
          <w:ilvl w:val="0"/>
          <w:numId w:val="7"/>
        </w:numPr>
        <w:rPr>
          <w:rFonts w:ascii="Arial" w:cs="Arial" w:eastAsia="Arial" w:hAnsi="Arial"/>
          <w:sz w:val="25"/>
          <w:szCs w:val="25"/>
          <w:color w:val="58585A"/>
          <w:vertAlign w:val="subscript"/>
        </w:rPr>
      </w:pPr>
      <w:r>
        <w:rPr>
          <w:rFonts w:ascii="Arial" w:cs="Arial" w:eastAsia="Arial" w:hAnsi="Arial"/>
          <w:sz w:val="13"/>
          <w:szCs w:val="13"/>
          <w:color w:val="58585A"/>
        </w:rPr>
        <w:t>Blalock Insurance Agency, Inc.</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1540" w:type="dxa"/>
            <w:vAlign w:val="bottom"/>
          </w:tcPr>
          <w:p>
            <w:pPr>
              <w:jc w:val="center"/>
              <w:ind w:left="188"/>
              <w:spacing w:after="0"/>
              <w:rPr>
                <w:sz w:val="20"/>
                <w:szCs w:val="20"/>
                <w:color w:val="auto"/>
              </w:rPr>
            </w:pPr>
            <w:r>
              <w:rPr>
                <w:rFonts w:ascii="Arial" w:cs="Arial" w:eastAsia="Arial" w:hAnsi="Arial"/>
                <w:sz w:val="14"/>
                <w:szCs w:val="14"/>
                <w:color w:val="58585A"/>
              </w:rPr>
              <w:t>President,</w:t>
            </w:r>
          </w:p>
        </w:tc>
      </w:tr>
      <w:tr>
        <w:trPr>
          <w:trHeight w:val="172"/>
        </w:trPr>
        <w:tc>
          <w:tcPr>
            <w:tcW w:w="460" w:type="dxa"/>
            <w:vAlign w:val="bottom"/>
          </w:tcPr>
          <w:p>
            <w:pPr>
              <w:jc w:val="right"/>
              <w:ind w:right="228"/>
              <w:spacing w:after="0"/>
              <w:rPr>
                <w:sz w:val="20"/>
                <w:szCs w:val="20"/>
                <w:color w:val="auto"/>
              </w:rPr>
            </w:pPr>
            <w:r>
              <w:rPr>
                <w:rFonts w:ascii="Arial" w:cs="Arial" w:eastAsia="Arial" w:hAnsi="Arial"/>
                <w:sz w:val="14"/>
                <w:szCs w:val="14"/>
                <w:color w:val="58585A"/>
                <w:w w:val="89"/>
              </w:rPr>
              <w:t>57</w:t>
            </w:r>
          </w:p>
        </w:tc>
        <w:tc>
          <w:tcPr>
            <w:tcW w:w="1540" w:type="dxa"/>
            <w:vAlign w:val="bottom"/>
          </w:tcPr>
          <w:p>
            <w:pPr>
              <w:jc w:val="center"/>
              <w:ind w:left="228"/>
              <w:spacing w:after="0"/>
              <w:rPr>
                <w:sz w:val="20"/>
                <w:szCs w:val="20"/>
                <w:color w:val="auto"/>
              </w:rPr>
            </w:pPr>
            <w:r>
              <w:rPr>
                <w:rFonts w:ascii="Arial" w:cs="Arial" w:eastAsia="Arial" w:hAnsi="Arial"/>
                <w:sz w:val="14"/>
                <w:szCs w:val="14"/>
                <w:color w:val="58585A"/>
              </w:rPr>
              <w:t>Clemson University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93345</wp:posOffset>
            </wp:positionV>
            <wp:extent cx="889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93345</wp:posOffset>
            </wp:positionV>
            <wp:extent cx="889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93345</wp:posOffset>
            </wp:positionV>
            <wp:extent cx="889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94" w:lineRule="exact"/>
        <w:rPr>
          <w:sz w:val="20"/>
          <w:szCs w:val="20"/>
          <w:color w:val="auto"/>
        </w:rPr>
      </w:pPr>
    </w:p>
    <w:p>
      <w:pPr>
        <w:ind w:left="980" w:right="180" w:hanging="934"/>
        <w:spacing w:after="0" w:line="183" w:lineRule="auto"/>
        <w:tabs>
          <w:tab w:leader="none" w:pos="590" w:val="left"/>
        </w:tabs>
        <w:numPr>
          <w:ilvl w:val="0"/>
          <w:numId w:val="8"/>
        </w:numPr>
        <w:rPr>
          <w:rFonts w:ascii="Arial" w:cs="Arial" w:eastAsia="Arial" w:hAnsi="Arial"/>
          <w:sz w:val="25"/>
          <w:szCs w:val="25"/>
          <w:color w:val="58585A"/>
          <w:vertAlign w:val="subscript"/>
        </w:rPr>
      </w:pPr>
      <w:r>
        <w:rPr>
          <w:rFonts w:ascii="Arial" w:cs="Arial" w:eastAsia="Arial" w:hAnsi="Arial"/>
          <w:sz w:val="13"/>
          <w:szCs w:val="13"/>
          <w:color w:val="58585A"/>
        </w:rPr>
        <w:t>Dean, Mercer University’s School of Law</w:t>
      </w:r>
    </w:p>
    <w:p>
      <w:pPr>
        <w:spacing w:after="0" w:line="315" w:lineRule="exact"/>
        <w:rPr>
          <w:sz w:val="20"/>
          <w:szCs w:val="20"/>
          <w:color w:val="auto"/>
        </w:rPr>
      </w:pPr>
    </w:p>
    <w:p>
      <w:pPr>
        <w:ind w:left="980"/>
        <w:spacing w:after="0"/>
        <w:rPr>
          <w:sz w:val="20"/>
          <w:szCs w:val="20"/>
          <w:color w:val="auto"/>
        </w:rPr>
      </w:pPr>
      <w:r>
        <w:rPr>
          <w:rFonts w:ascii="Arial" w:cs="Arial" w:eastAsia="Arial" w:hAnsi="Arial"/>
          <w:sz w:val="14"/>
          <w:szCs w:val="14"/>
          <w:color w:val="58585A"/>
        </w:rPr>
        <w:t>Former Chief</w:t>
      </w:r>
    </w:p>
    <w:p>
      <w:pPr>
        <w:spacing w:after="0" w:line="1" w:lineRule="exact"/>
        <w:rPr>
          <w:sz w:val="20"/>
          <w:szCs w:val="20"/>
          <w:color w:val="auto"/>
        </w:rPr>
      </w:pPr>
    </w:p>
    <w:p>
      <w:pPr>
        <w:ind w:left="700" w:right="120" w:hanging="654"/>
        <w:spacing w:after="0" w:line="258" w:lineRule="auto"/>
        <w:tabs>
          <w:tab w:leader="none" w:pos="534" w:val="left"/>
        </w:tabs>
        <w:numPr>
          <w:ilvl w:val="0"/>
          <w:numId w:val="9"/>
        </w:numPr>
        <w:rPr>
          <w:rFonts w:ascii="Arial" w:cs="Arial" w:eastAsia="Arial" w:hAnsi="Arial"/>
          <w:sz w:val="14"/>
          <w:szCs w:val="14"/>
          <w:color w:val="58585A"/>
        </w:rPr>
      </w:pPr>
      <w:r>
        <w:rPr>
          <w:rFonts w:ascii="Arial" w:cs="Arial" w:eastAsia="Arial" w:hAnsi="Arial"/>
          <w:sz w:val="14"/>
          <w:szCs w:val="14"/>
          <w:color w:val="58585A"/>
        </w:rPr>
        <w:t>Credit Risk &amp; Policy Officer, Sr. Risk Advisor, BB&amp;T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85725</wp:posOffset>
            </wp:positionV>
            <wp:extent cx="8890" cy="514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85725</wp:posOffset>
            </wp:positionV>
            <wp:extent cx="8890" cy="514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85725</wp:posOffset>
            </wp:positionV>
            <wp:extent cx="8890"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514350"/>
                    </a:xfrm>
                    <a:prstGeom prst="rect">
                      <a:avLst/>
                    </a:prstGeom>
                    <a:noFill/>
                  </pic:spPr>
                </pic:pic>
              </a:graphicData>
            </a:graphic>
          </wp:anchor>
        </w:drawing>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4"/>
          <w:szCs w:val="14"/>
          <w:color w:val="58585A"/>
        </w:rPr>
        <w:t>Former Executive Vice</w:t>
      </w:r>
    </w:p>
    <w:p>
      <w:pPr>
        <w:ind w:left="1020" w:hanging="974"/>
        <w:spacing w:after="0" w:line="189" w:lineRule="auto"/>
        <w:tabs>
          <w:tab w:leader="none" w:pos="1020" w:val="left"/>
        </w:tabs>
        <w:numPr>
          <w:ilvl w:val="0"/>
          <w:numId w:val="10"/>
        </w:numPr>
        <w:rPr>
          <w:rFonts w:ascii="Arial" w:cs="Arial" w:eastAsia="Arial" w:hAnsi="Arial"/>
          <w:sz w:val="18"/>
          <w:szCs w:val="18"/>
          <w:color w:val="58585A"/>
          <w:vertAlign w:val="subscript"/>
        </w:rPr>
      </w:pPr>
      <w:r>
        <w:rPr>
          <w:rFonts w:ascii="Arial" w:cs="Arial" w:eastAsia="Arial" w:hAnsi="Arial"/>
          <w:sz w:val="11"/>
          <w:szCs w:val="11"/>
          <w:color w:val="58585A"/>
        </w:rPr>
        <w:t>President of</w:t>
      </w:r>
    </w:p>
    <w:p>
      <w:pPr>
        <w:ind w:left="880" w:right="100" w:hanging="361"/>
        <w:spacing w:after="0" w:line="258" w:lineRule="auto"/>
        <w:rPr>
          <w:rFonts w:ascii="Arial" w:cs="Arial" w:eastAsia="Arial" w:hAnsi="Arial"/>
          <w:sz w:val="18"/>
          <w:szCs w:val="18"/>
          <w:color w:val="58585A"/>
          <w:vertAlign w:val="subscript"/>
        </w:rPr>
      </w:pPr>
      <w:r>
        <w:rPr>
          <w:rFonts w:ascii="Arial" w:cs="Arial" w:eastAsia="Arial" w:hAnsi="Arial"/>
          <w:sz w:val="14"/>
          <w:szCs w:val="14"/>
          <w:color w:val="58585A"/>
        </w:rPr>
        <w:t>Operations and Technology, TD Canada Trust</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4"/>
          <w:szCs w:val="14"/>
          <w:color w:val="58585A"/>
        </w:rPr>
        <w:t>Chairman, President and Chief</w:t>
      </w:r>
    </w:p>
    <w:p>
      <w:pPr>
        <w:spacing w:after="0" w:line="1" w:lineRule="exact"/>
        <w:rPr>
          <w:sz w:val="20"/>
          <w:szCs w:val="20"/>
          <w:color w:val="auto"/>
        </w:rPr>
      </w:pPr>
    </w:p>
    <w:p>
      <w:pPr>
        <w:jc w:val="center"/>
        <w:ind w:left="460" w:right="20" w:hanging="414"/>
        <w:spacing w:after="0" w:line="183" w:lineRule="auto"/>
        <w:tabs>
          <w:tab w:leader="none" w:pos="849" w:val="left"/>
        </w:tabs>
        <w:numPr>
          <w:ilvl w:val="0"/>
          <w:numId w:val="11"/>
        </w:numPr>
        <w:rPr>
          <w:rFonts w:ascii="Arial" w:cs="Arial" w:eastAsia="Arial" w:hAnsi="Arial"/>
          <w:sz w:val="25"/>
          <w:szCs w:val="25"/>
          <w:color w:val="58585A"/>
          <w:vertAlign w:val="subscript"/>
        </w:rPr>
      </w:pPr>
      <w:r>
        <w:rPr>
          <w:rFonts w:ascii="Arial" w:cs="Arial" w:eastAsia="Arial" w:hAnsi="Arial"/>
          <w:sz w:val="13"/>
          <w:szCs w:val="13"/>
          <w:color w:val="58585A"/>
        </w:rPr>
        <w:t>Executive Officer, United Community Banks,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93980</wp:posOffset>
            </wp:positionV>
            <wp:extent cx="8890"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93980</wp:posOffset>
            </wp:positionV>
            <wp:extent cx="8890" cy="514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93980</wp:posOffset>
            </wp:positionV>
            <wp:extent cx="8890" cy="514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514350"/>
                    </a:xfrm>
                    <a:prstGeom prst="rect">
                      <a:avLst/>
                    </a:prstGeom>
                    <a:noFill/>
                  </pic:spPr>
                </pic:pic>
              </a:graphicData>
            </a:graphic>
          </wp:anchor>
        </w:drawing>
      </w:r>
    </w:p>
    <w:p>
      <w:pPr>
        <w:spacing w:after="0" w:line="133" w:lineRule="exact"/>
        <w:rPr>
          <w:sz w:val="20"/>
          <w:szCs w:val="20"/>
          <w:color w:val="auto"/>
        </w:rPr>
      </w:pPr>
    </w:p>
    <w:p>
      <w:pPr>
        <w:ind w:left="960"/>
        <w:spacing w:after="0"/>
        <w:rPr>
          <w:sz w:val="20"/>
          <w:szCs w:val="20"/>
          <w:color w:val="auto"/>
        </w:rPr>
      </w:pPr>
      <w:r>
        <w:rPr>
          <w:rFonts w:ascii="Arial" w:cs="Arial" w:eastAsia="Arial" w:hAnsi="Arial"/>
          <w:sz w:val="14"/>
          <w:szCs w:val="14"/>
          <w:color w:val="58585A"/>
        </w:rPr>
        <w:t>Executive Vice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4"/>
          <w:szCs w:val="14"/>
          <w:color w:val="58585A"/>
        </w:rPr>
        <w:t>President of Human</w:t>
      </w:r>
    </w:p>
    <w:p>
      <w:pPr>
        <w:spacing w:after="0" w:line="1" w:lineRule="exact"/>
        <w:rPr>
          <w:sz w:val="20"/>
          <w:szCs w:val="20"/>
          <w:color w:val="auto"/>
        </w:rPr>
      </w:pPr>
    </w:p>
    <w:p>
      <w:pPr>
        <w:ind w:left="1040" w:hanging="994"/>
        <w:spacing w:after="0"/>
        <w:tabs>
          <w:tab w:leader="none" w:pos="1040" w:val="left"/>
        </w:tabs>
        <w:numPr>
          <w:ilvl w:val="0"/>
          <w:numId w:val="12"/>
        </w:numPr>
        <w:rPr>
          <w:rFonts w:ascii="Arial" w:cs="Arial" w:eastAsia="Arial" w:hAnsi="Arial"/>
          <w:sz w:val="14"/>
          <w:szCs w:val="14"/>
          <w:color w:val="58585A"/>
        </w:rPr>
      </w:pPr>
      <w:r>
        <w:rPr>
          <w:rFonts w:ascii="Arial" w:cs="Arial" w:eastAsia="Arial" w:hAnsi="Arial"/>
          <w:sz w:val="14"/>
          <w:szCs w:val="14"/>
          <w:color w:val="58585A"/>
        </w:rPr>
        <w:t>Resources,</w:t>
      </w:r>
    </w:p>
    <w:p>
      <w:pPr>
        <w:spacing w:after="0" w:line="1" w:lineRule="exact"/>
        <w:rPr>
          <w:rFonts w:ascii="Arial" w:cs="Arial" w:eastAsia="Arial" w:hAnsi="Arial"/>
          <w:sz w:val="14"/>
          <w:szCs w:val="14"/>
          <w:color w:val="58585A"/>
        </w:rPr>
      </w:pPr>
    </w:p>
    <w:p>
      <w:pPr>
        <w:ind w:left="1280"/>
        <w:spacing w:after="0"/>
        <w:rPr>
          <w:rFonts w:ascii="Arial" w:cs="Arial" w:eastAsia="Arial" w:hAnsi="Arial"/>
          <w:sz w:val="14"/>
          <w:szCs w:val="14"/>
          <w:color w:val="58585A"/>
        </w:rPr>
      </w:pPr>
      <w:r>
        <w:rPr>
          <w:rFonts w:ascii="Arial" w:cs="Arial" w:eastAsia="Arial" w:hAnsi="Arial"/>
          <w:sz w:val="14"/>
          <w:szCs w:val="14"/>
          <w:color w:val="58585A"/>
        </w:rPr>
        <w:t>SAS</w:t>
      </w:r>
    </w:p>
    <w:p>
      <w:pPr>
        <w:spacing w:after="0" w:line="200" w:lineRule="exact"/>
        <w:rPr>
          <w:sz w:val="20"/>
          <w:szCs w:val="20"/>
          <w:color w:val="auto"/>
        </w:rPr>
      </w:pPr>
    </w:p>
    <w:p>
      <w:pPr>
        <w:spacing w:after="0" w:line="206" w:lineRule="exact"/>
        <w:rPr>
          <w:sz w:val="20"/>
          <w:szCs w:val="20"/>
          <w:color w:val="auto"/>
        </w:rPr>
      </w:pPr>
    </w:p>
    <w:p>
      <w:pPr>
        <w:ind w:left="840"/>
        <w:spacing w:after="0"/>
        <w:rPr>
          <w:sz w:val="20"/>
          <w:szCs w:val="20"/>
          <w:color w:val="auto"/>
        </w:rPr>
      </w:pPr>
      <w:r>
        <w:rPr>
          <w:rFonts w:ascii="Arial" w:cs="Arial" w:eastAsia="Arial" w:hAnsi="Arial"/>
          <w:sz w:val="14"/>
          <w:szCs w:val="14"/>
          <w:color w:val="58585A"/>
        </w:rPr>
        <w:t>Former Executive</w:t>
      </w:r>
    </w:p>
    <w:p>
      <w:pPr>
        <w:spacing w:after="0" w:line="1"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4"/>
          <w:szCs w:val="14"/>
          <w:color w:val="58585A"/>
        </w:rPr>
        <w:t>69</w:t>
      </w:r>
      <w:r>
        <w:rPr>
          <w:sz w:val="20"/>
          <w:szCs w:val="20"/>
          <w:color w:val="auto"/>
        </w:rPr>
        <w:tab/>
      </w:r>
      <w:r>
        <w:rPr>
          <w:rFonts w:ascii="Arial" w:cs="Arial" w:eastAsia="Arial" w:hAnsi="Arial"/>
          <w:sz w:val="14"/>
          <w:szCs w:val="14"/>
          <w:color w:val="58585A"/>
        </w:rPr>
        <w:t>Vice President,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58585A"/>
        </w:rPr>
        <w:t>PNC Financial Services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151765</wp:posOffset>
            </wp:positionV>
            <wp:extent cx="889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151765</wp:posOffset>
            </wp:positionV>
            <wp:extent cx="889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151765</wp:posOffset>
            </wp:positionV>
            <wp:extent cx="889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4"/>
          <w:szCs w:val="14"/>
          <w:color w:val="58585A"/>
        </w:rPr>
        <w:t>Chief Executive</w:t>
      </w:r>
    </w:p>
    <w:p>
      <w:pPr>
        <w:spacing w:after="0" w:line="1" w:lineRule="exact"/>
        <w:rPr>
          <w:sz w:val="20"/>
          <w:szCs w:val="20"/>
          <w:color w:val="auto"/>
        </w:rPr>
      </w:pPr>
    </w:p>
    <w:p>
      <w:pPr>
        <w:ind w:left="980" w:right="200" w:hanging="934"/>
        <w:spacing w:after="0" w:line="183" w:lineRule="auto"/>
        <w:tabs>
          <w:tab w:leader="none" w:pos="606" w:val="left"/>
        </w:tabs>
        <w:numPr>
          <w:ilvl w:val="0"/>
          <w:numId w:val="13"/>
        </w:numPr>
        <w:rPr>
          <w:rFonts w:ascii="Arial" w:cs="Arial" w:eastAsia="Arial" w:hAnsi="Arial"/>
          <w:sz w:val="25"/>
          <w:szCs w:val="25"/>
          <w:color w:val="58585A"/>
          <w:vertAlign w:val="subscript"/>
        </w:rPr>
      </w:pPr>
      <w:r>
        <w:rPr>
          <w:rFonts w:ascii="Arial" w:cs="Arial" w:eastAsia="Arial" w:hAnsi="Arial"/>
          <w:sz w:val="13"/>
          <w:szCs w:val="13"/>
          <w:color w:val="58585A"/>
        </w:rPr>
        <w:t>Officer, Cost Segregation Advisors, LLC</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300" w:type="dxa"/>
            <w:vAlign w:val="bottom"/>
          </w:tcPr>
          <w:p>
            <w:pPr>
              <w:ind w:left="500"/>
              <w:spacing w:after="0"/>
              <w:rPr>
                <w:sz w:val="20"/>
                <w:szCs w:val="20"/>
                <w:color w:val="auto"/>
              </w:rPr>
            </w:pPr>
            <w:r>
              <w:rPr>
                <w:rFonts w:ascii="Arial" w:cs="Arial" w:eastAsia="Arial" w:hAnsi="Arial"/>
                <w:sz w:val="14"/>
                <w:szCs w:val="14"/>
                <w:color w:val="58585A"/>
              </w:rPr>
              <w:t>President,</w:t>
            </w:r>
          </w:p>
        </w:tc>
      </w:tr>
      <w:tr>
        <w:trPr>
          <w:trHeight w:val="172"/>
        </w:trPr>
        <w:tc>
          <w:tcPr>
            <w:tcW w:w="540" w:type="dxa"/>
            <w:vAlign w:val="bottom"/>
          </w:tcPr>
          <w:p>
            <w:pPr>
              <w:jc w:val="right"/>
              <w:ind w:right="308"/>
              <w:spacing w:after="0"/>
              <w:rPr>
                <w:sz w:val="20"/>
                <w:szCs w:val="20"/>
                <w:color w:val="auto"/>
              </w:rPr>
            </w:pPr>
            <w:r>
              <w:rPr>
                <w:rFonts w:ascii="Arial" w:cs="Arial" w:eastAsia="Arial" w:hAnsi="Arial"/>
                <w:sz w:val="14"/>
                <w:szCs w:val="14"/>
                <w:color w:val="58585A"/>
                <w:w w:val="89"/>
              </w:rPr>
              <w:t>69</w:t>
            </w:r>
          </w:p>
        </w:tc>
        <w:tc>
          <w:tcPr>
            <w:tcW w:w="1300" w:type="dxa"/>
            <w:vAlign w:val="bottom"/>
          </w:tcPr>
          <w:p>
            <w:pPr>
              <w:ind w:left="380"/>
              <w:spacing w:after="0"/>
              <w:rPr>
                <w:sz w:val="20"/>
                <w:szCs w:val="20"/>
                <w:color w:val="auto"/>
              </w:rPr>
            </w:pPr>
            <w:r>
              <w:rPr>
                <w:rFonts w:ascii="Arial" w:cs="Arial" w:eastAsia="Arial" w:hAnsi="Arial"/>
                <w:sz w:val="14"/>
                <w:szCs w:val="14"/>
                <w:color w:val="58585A"/>
              </w:rPr>
              <w:t>Wallis Printing</w:t>
            </w:r>
          </w:p>
        </w:tc>
      </w:tr>
    </w:tbl>
    <w:p>
      <w:pPr>
        <w:spacing w:after="0" w:line="152" w:lineRule="exact"/>
        <w:rPr>
          <w:sz w:val="20"/>
          <w:szCs w:val="20"/>
          <w:color w:val="auto"/>
        </w:rPr>
      </w:pPr>
    </w:p>
    <w:p>
      <w:pPr>
        <w:jc w:val="center"/>
        <w:ind w:left="-439"/>
        <w:spacing w:after="0"/>
        <w:rPr>
          <w:sz w:val="20"/>
          <w:szCs w:val="20"/>
          <w:color w:val="auto"/>
        </w:rPr>
      </w:pPr>
      <w:r>
        <w:rPr>
          <w:rFonts w:ascii="Arial" w:cs="Arial" w:eastAsia="Arial" w:hAnsi="Arial"/>
          <w:sz w:val="14"/>
          <w:szCs w:val="14"/>
          <w:color w:val="58585A"/>
        </w:rPr>
        <w:t>Former US Ambassador to</w:t>
      </w:r>
    </w:p>
    <w:p>
      <w:pPr>
        <w:spacing w:after="0" w:line="1" w:lineRule="exact"/>
        <w:rPr>
          <w:sz w:val="20"/>
          <w:szCs w:val="20"/>
          <w:color w:val="auto"/>
        </w:rPr>
      </w:pPr>
    </w:p>
    <w:p>
      <w:pPr>
        <w:jc w:val="center"/>
        <w:ind w:left="-419"/>
        <w:spacing w:after="0"/>
        <w:rPr>
          <w:sz w:val="20"/>
          <w:szCs w:val="20"/>
          <w:color w:val="auto"/>
        </w:rPr>
      </w:pPr>
      <w:r>
        <w:rPr>
          <w:rFonts w:ascii="Arial" w:cs="Arial" w:eastAsia="Arial" w:hAnsi="Arial"/>
          <w:sz w:val="14"/>
          <w:szCs w:val="14"/>
          <w:color w:val="58585A"/>
        </w:rPr>
        <w:t>Canada;</w:t>
      </w:r>
    </w:p>
    <w:p>
      <w:pPr>
        <w:ind w:left="440" w:hanging="394"/>
        <w:spacing w:after="0" w:line="189" w:lineRule="auto"/>
        <w:tabs>
          <w:tab w:leader="none" w:pos="440" w:val="left"/>
        </w:tabs>
        <w:numPr>
          <w:ilvl w:val="0"/>
          <w:numId w:val="14"/>
        </w:numPr>
        <w:rPr>
          <w:rFonts w:ascii="Arial" w:cs="Arial" w:eastAsia="Arial" w:hAnsi="Arial"/>
          <w:sz w:val="18"/>
          <w:szCs w:val="18"/>
          <w:color w:val="58585A"/>
          <w:vertAlign w:val="subscript"/>
        </w:rPr>
      </w:pPr>
      <w:r>
        <w:rPr>
          <w:rFonts w:ascii="Arial" w:cs="Arial" w:eastAsia="Arial" w:hAnsi="Arial"/>
          <w:sz w:val="11"/>
          <w:szCs w:val="11"/>
          <w:color w:val="58585A"/>
        </w:rPr>
        <w:t>Former Speaker, SC House of</w:t>
      </w:r>
    </w:p>
    <w:p>
      <w:pPr>
        <w:ind w:left="860"/>
        <w:spacing w:after="0"/>
        <w:rPr>
          <w:rFonts w:ascii="Arial" w:cs="Arial" w:eastAsia="Arial" w:hAnsi="Arial"/>
          <w:sz w:val="18"/>
          <w:szCs w:val="18"/>
          <w:color w:val="58585A"/>
          <w:vertAlign w:val="subscript"/>
        </w:rPr>
      </w:pPr>
      <w:r>
        <w:rPr>
          <w:rFonts w:ascii="Arial" w:cs="Arial" w:eastAsia="Arial" w:hAnsi="Arial"/>
          <w:sz w:val="14"/>
          <w:szCs w:val="14"/>
          <w:color w:val="58585A"/>
        </w:rPr>
        <w:t>Representatives;</w:t>
      </w:r>
    </w:p>
    <w:p>
      <w:pPr>
        <w:spacing w:after="0" w:line="1" w:lineRule="exact"/>
        <w:rPr>
          <w:sz w:val="20"/>
          <w:szCs w:val="20"/>
          <w:color w:val="auto"/>
        </w:rPr>
      </w:pPr>
    </w:p>
    <w:p>
      <w:pPr>
        <w:jc w:val="center"/>
        <w:ind w:left="-439"/>
        <w:spacing w:after="0"/>
        <w:rPr>
          <w:sz w:val="20"/>
          <w:szCs w:val="20"/>
          <w:color w:val="auto"/>
        </w:rPr>
      </w:pPr>
      <w:r>
        <w:rPr>
          <w:rFonts w:ascii="Arial" w:cs="Arial" w:eastAsia="Arial" w:hAnsi="Arial"/>
          <w:sz w:val="14"/>
          <w:szCs w:val="14"/>
          <w:color w:val="58585A"/>
        </w:rPr>
        <w:t>Partner, Nelson Mullins</w:t>
      </w:r>
    </w:p>
    <w:p>
      <w:pPr>
        <w:spacing w:after="0" w:line="1" w:lineRule="exact"/>
        <w:rPr>
          <w:sz w:val="20"/>
          <w:szCs w:val="20"/>
          <w:color w:val="auto"/>
        </w:rPr>
      </w:pPr>
    </w:p>
    <w:p>
      <w:pPr>
        <w:jc w:val="center"/>
        <w:ind w:left="-439"/>
        <w:spacing w:after="0"/>
        <w:rPr>
          <w:sz w:val="20"/>
          <w:szCs w:val="20"/>
          <w:color w:val="auto"/>
        </w:rPr>
      </w:pPr>
      <w:r>
        <w:rPr>
          <w:rFonts w:ascii="Arial" w:cs="Arial" w:eastAsia="Arial" w:hAnsi="Arial"/>
          <w:sz w:val="14"/>
          <w:szCs w:val="14"/>
          <w:color w:val="58585A"/>
        </w:rPr>
        <w:t>Riley &amp; Scarborough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center"/>
              <w:ind w:right="248"/>
              <w:spacing w:after="0"/>
              <w:rPr>
                <w:sz w:val="20"/>
                <w:szCs w:val="20"/>
                <w:color w:val="auto"/>
              </w:rPr>
            </w:pPr>
            <w:r>
              <w:rPr>
                <w:rFonts w:ascii="Arial" w:cs="Arial" w:eastAsia="Arial" w:hAnsi="Arial"/>
                <w:sz w:val="14"/>
                <w:szCs w:val="14"/>
                <w:color w:val="FFFFFF"/>
              </w:rPr>
              <w:t>Director</w:t>
            </w:r>
          </w:p>
        </w:tc>
        <w:tc>
          <w:tcPr>
            <w:tcW w:w="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FFFFFF"/>
              </w:rPr>
              <w:t>Independent</w:t>
            </w:r>
          </w:p>
        </w:tc>
        <w:tc>
          <w:tcPr>
            <w:tcW w:w="20" w:type="dxa"/>
            <w:vAlign w:val="bottom"/>
          </w:tcPr>
          <w:p>
            <w:pPr>
              <w:spacing w:after="0"/>
              <w:rPr>
                <w:sz w:val="14"/>
                <w:szCs w:val="14"/>
                <w:color w:val="auto"/>
              </w:rPr>
            </w:pPr>
          </w:p>
        </w:tc>
        <w:tc>
          <w:tcPr>
            <w:tcW w:w="980" w:type="dxa"/>
            <w:vAlign w:val="bottom"/>
          </w:tcPr>
          <w:p>
            <w:pPr>
              <w:jc w:val="center"/>
              <w:ind w:left="108"/>
              <w:spacing w:after="0"/>
              <w:rPr>
                <w:sz w:val="20"/>
                <w:szCs w:val="20"/>
                <w:color w:val="auto"/>
              </w:rPr>
            </w:pPr>
            <w:r>
              <w:rPr>
                <w:rFonts w:ascii="Arial" w:cs="Arial" w:eastAsia="Arial" w:hAnsi="Arial"/>
                <w:sz w:val="14"/>
                <w:szCs w:val="14"/>
                <w:color w:val="FFFFFF"/>
              </w:rPr>
              <w:t>Other Public</w:t>
            </w:r>
          </w:p>
        </w:tc>
        <w:tc>
          <w:tcPr>
            <w:tcW w:w="0" w:type="dxa"/>
            <w:vAlign w:val="bottom"/>
          </w:tcPr>
          <w:p>
            <w:pPr>
              <w:spacing w:after="0"/>
              <w:rPr>
                <w:sz w:val="1"/>
                <w:szCs w:val="1"/>
                <w:color w:val="auto"/>
              </w:rPr>
            </w:pPr>
          </w:p>
        </w:tc>
      </w:tr>
      <w:tr>
        <w:trPr>
          <w:trHeight w:val="91"/>
        </w:trPr>
        <w:tc>
          <w:tcPr>
            <w:tcW w:w="840" w:type="dxa"/>
            <w:vAlign w:val="bottom"/>
            <w:vMerge w:val="restart"/>
          </w:tcPr>
          <w:p>
            <w:pPr>
              <w:jc w:val="center"/>
              <w:ind w:right="208"/>
              <w:spacing w:after="0" w:line="157" w:lineRule="exact"/>
              <w:rPr>
                <w:sz w:val="20"/>
                <w:szCs w:val="20"/>
                <w:color w:val="auto"/>
              </w:rPr>
            </w:pPr>
            <w:r>
              <w:rPr>
                <w:rFonts w:ascii="Arial" w:cs="Arial" w:eastAsia="Arial" w:hAnsi="Arial"/>
                <w:sz w:val="14"/>
                <w:szCs w:val="14"/>
                <w:color w:val="FFFFFF"/>
              </w:rPr>
              <w:t>Since</w:t>
            </w:r>
          </w:p>
        </w:tc>
        <w:tc>
          <w:tcPr>
            <w:tcW w:w="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restart"/>
          </w:tcPr>
          <w:p>
            <w:pPr>
              <w:jc w:val="center"/>
              <w:ind w:left="148"/>
              <w:spacing w:after="0" w:line="157" w:lineRule="exact"/>
              <w:rPr>
                <w:sz w:val="20"/>
                <w:szCs w:val="20"/>
                <w:color w:val="auto"/>
              </w:rPr>
            </w:pPr>
            <w:r>
              <w:rPr>
                <w:rFonts w:ascii="Arial" w:cs="Arial" w:eastAsia="Arial" w:hAnsi="Arial"/>
                <w:sz w:val="14"/>
                <w:szCs w:val="14"/>
                <w:color w:val="FFFFFF"/>
                <w:w w:val="99"/>
              </w:rPr>
              <w:t>Boards</w:t>
            </w:r>
          </w:p>
        </w:tc>
        <w:tc>
          <w:tcPr>
            <w:tcW w:w="0" w:type="dxa"/>
            <w:vAlign w:val="bottom"/>
          </w:tcPr>
          <w:p>
            <w:pPr>
              <w:spacing w:after="0"/>
              <w:rPr>
                <w:sz w:val="1"/>
                <w:szCs w:val="1"/>
                <w:color w:val="auto"/>
              </w:rPr>
            </w:pPr>
          </w:p>
        </w:tc>
      </w:tr>
      <w:tr>
        <w:trPr>
          <w:trHeight w:val="66"/>
        </w:trPr>
        <w:tc>
          <w:tcPr>
            <w:tcW w:w="8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0"/>
        </w:trPr>
        <w:tc>
          <w:tcPr>
            <w:tcW w:w="840" w:type="dxa"/>
            <w:vAlign w:val="bottom"/>
          </w:tcPr>
          <w:p>
            <w:pPr>
              <w:jc w:val="center"/>
              <w:ind w:right="208"/>
              <w:spacing w:after="0"/>
              <w:rPr>
                <w:sz w:val="20"/>
                <w:szCs w:val="20"/>
                <w:color w:val="auto"/>
              </w:rPr>
            </w:pPr>
            <w:r>
              <w:rPr>
                <w:rFonts w:ascii="Arial" w:cs="Arial" w:eastAsia="Arial" w:hAnsi="Arial"/>
                <w:sz w:val="14"/>
                <w:szCs w:val="14"/>
                <w:color w:val="58585A"/>
              </w:rPr>
              <w:t>2000</w:t>
            </w:r>
          </w:p>
        </w:tc>
        <w:tc>
          <w:tcPr>
            <w:tcW w:w="20" w:type="dxa"/>
            <w:vAlign w:val="bottom"/>
            <w:shd w:val="clear" w:color="auto" w:fill="E5E6E6"/>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58585A"/>
                <w:w w:val="99"/>
              </w:rPr>
              <w:t>Yes</w:t>
            </w:r>
          </w:p>
        </w:tc>
        <w:tc>
          <w:tcPr>
            <w:tcW w:w="20" w:type="dxa"/>
            <w:vAlign w:val="bottom"/>
            <w:shd w:val="clear" w:color="auto" w:fill="E5E6E6"/>
          </w:tcPr>
          <w:p>
            <w:pPr>
              <w:spacing w:after="0"/>
              <w:rPr>
                <w:sz w:val="24"/>
                <w:szCs w:val="24"/>
                <w:color w:val="auto"/>
              </w:rPr>
            </w:pPr>
          </w:p>
        </w:tc>
        <w:tc>
          <w:tcPr>
            <w:tcW w:w="980" w:type="dxa"/>
            <w:vAlign w:val="bottom"/>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228"/>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2020</w:t>
            </w:r>
          </w:p>
        </w:tc>
        <w:tc>
          <w:tcPr>
            <w:tcW w:w="20" w:type="dxa"/>
            <w:vAlign w:val="bottom"/>
            <w:shd w:val="clear" w:color="auto" w:fill="E5E6E6"/>
          </w:tcPr>
          <w:p>
            <w:pPr>
              <w:spacing w:after="0"/>
              <w:rPr>
                <w:sz w:val="19"/>
                <w:szCs w:val="19"/>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w w:val="99"/>
              </w:rPr>
              <w:t>Yes</w:t>
            </w:r>
          </w:p>
        </w:tc>
        <w:tc>
          <w:tcPr>
            <w:tcW w:w="20" w:type="dxa"/>
            <w:vAlign w:val="bottom"/>
            <w:shd w:val="clear" w:color="auto" w:fill="E5E6E6"/>
          </w:tcPr>
          <w:p>
            <w:pPr>
              <w:spacing w:after="0"/>
              <w:rPr>
                <w:sz w:val="19"/>
                <w:szCs w:val="19"/>
                <w:color w:val="auto"/>
              </w:rPr>
            </w:pPr>
          </w:p>
        </w:tc>
        <w:tc>
          <w:tcPr>
            <w:tcW w:w="980" w:type="dxa"/>
            <w:vAlign w:val="bottom"/>
            <w:vMerge w:val="restart"/>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339"/>
        </w:trPr>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2008</w:t>
            </w:r>
          </w:p>
        </w:tc>
        <w:tc>
          <w:tcPr>
            <w:tcW w:w="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w w:val="99"/>
              </w:rPr>
              <w:t>Yes</w:t>
            </w:r>
          </w:p>
        </w:tc>
        <w:tc>
          <w:tcPr>
            <w:tcW w:w="20" w:type="dxa"/>
            <w:vAlign w:val="bottom"/>
          </w:tcPr>
          <w:p>
            <w:pPr>
              <w:spacing w:after="0"/>
              <w:rPr>
                <w:sz w:val="12"/>
                <w:szCs w:val="12"/>
                <w:color w:val="auto"/>
              </w:rPr>
            </w:pPr>
          </w:p>
        </w:tc>
        <w:tc>
          <w:tcPr>
            <w:tcW w:w="980" w:type="dxa"/>
            <w:vAlign w:val="bottom"/>
            <w:vMerge w:val="restart"/>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420"/>
        </w:trPr>
        <w:tc>
          <w:tcPr>
            <w:tcW w:w="8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2015</w:t>
            </w:r>
          </w:p>
        </w:tc>
        <w:tc>
          <w:tcPr>
            <w:tcW w:w="20" w:type="dxa"/>
            <w:vAlign w:val="bottom"/>
            <w:shd w:val="clear" w:color="auto" w:fill="E5E6E6"/>
          </w:tcPr>
          <w:p>
            <w:pPr>
              <w:spacing w:after="0"/>
              <w:rPr>
                <w:sz w:val="19"/>
                <w:szCs w:val="19"/>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w w:val="99"/>
              </w:rPr>
              <w:t>Yes</w:t>
            </w:r>
          </w:p>
        </w:tc>
        <w:tc>
          <w:tcPr>
            <w:tcW w:w="20" w:type="dxa"/>
            <w:vAlign w:val="bottom"/>
            <w:shd w:val="clear" w:color="auto" w:fill="E5E6E6"/>
          </w:tcPr>
          <w:p>
            <w:pPr>
              <w:spacing w:after="0"/>
              <w:rPr>
                <w:sz w:val="19"/>
                <w:szCs w:val="19"/>
                <w:color w:val="auto"/>
              </w:rPr>
            </w:pPr>
          </w:p>
        </w:tc>
        <w:tc>
          <w:tcPr>
            <w:tcW w:w="980" w:type="dxa"/>
            <w:vAlign w:val="bottom"/>
            <w:vMerge w:val="restart"/>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501"/>
        </w:trPr>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2018</w:t>
            </w:r>
          </w:p>
        </w:tc>
        <w:tc>
          <w:tcPr>
            <w:tcW w:w="2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w w:val="99"/>
              </w:rPr>
              <w:t>Yes</w:t>
            </w:r>
          </w:p>
        </w:tc>
        <w:tc>
          <w:tcPr>
            <w:tcW w:w="1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8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980" w:type="dxa"/>
            <w:vAlign w:val="bottom"/>
          </w:tcPr>
          <w:p>
            <w:pPr>
              <w:jc w:val="center"/>
              <w:ind w:left="148"/>
              <w:spacing w:after="0"/>
              <w:rPr>
                <w:sz w:val="20"/>
                <w:szCs w:val="20"/>
                <w:color w:val="auto"/>
              </w:rPr>
            </w:pPr>
            <w:r>
              <w:rPr>
                <w:rFonts w:ascii="Arial" w:cs="Arial" w:eastAsia="Arial" w:hAnsi="Arial"/>
                <w:sz w:val="14"/>
                <w:szCs w:val="14"/>
                <w:color w:val="58585A"/>
              </w:rPr>
              <w:t>1</w:t>
            </w:r>
          </w:p>
        </w:tc>
        <w:tc>
          <w:tcPr>
            <w:tcW w:w="0" w:type="dxa"/>
            <w:vAlign w:val="bottom"/>
          </w:tcPr>
          <w:p>
            <w:pPr>
              <w:spacing w:after="0"/>
              <w:rPr>
                <w:sz w:val="1"/>
                <w:szCs w:val="1"/>
                <w:color w:val="auto"/>
              </w:rPr>
            </w:pPr>
          </w:p>
        </w:tc>
      </w:tr>
      <w:tr>
        <w:trPr>
          <w:trHeight w:val="309"/>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2015</w:t>
            </w:r>
          </w:p>
        </w:tc>
        <w:tc>
          <w:tcPr>
            <w:tcW w:w="20" w:type="dxa"/>
            <w:vAlign w:val="bottom"/>
            <w:shd w:val="clear" w:color="auto" w:fill="E5E6E6"/>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rPr>
              <w:t>No</w:t>
            </w:r>
          </w:p>
        </w:tc>
        <w:tc>
          <w:tcPr>
            <w:tcW w:w="20" w:type="dxa"/>
            <w:vAlign w:val="bottom"/>
            <w:shd w:val="clear" w:color="auto" w:fill="E5E6E6"/>
          </w:tcPr>
          <w:p>
            <w:pPr>
              <w:spacing w:after="0"/>
              <w:rPr>
                <w:sz w:val="24"/>
                <w:szCs w:val="24"/>
                <w:color w:val="auto"/>
              </w:rPr>
            </w:pPr>
          </w:p>
        </w:tc>
        <w:tc>
          <w:tcPr>
            <w:tcW w:w="980" w:type="dxa"/>
            <w:vAlign w:val="bottom"/>
            <w:vMerge w:val="restart"/>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420"/>
        </w:trPr>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2018</w:t>
            </w:r>
          </w:p>
        </w:tc>
        <w:tc>
          <w:tcPr>
            <w:tcW w:w="20" w:type="dxa"/>
            <w:vAlign w:val="bottom"/>
          </w:tcPr>
          <w:p>
            <w:pPr>
              <w:spacing w:after="0"/>
              <w:rPr>
                <w:sz w:val="19"/>
                <w:szCs w:val="19"/>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w w:val="99"/>
              </w:rPr>
              <w:t>Yes</w:t>
            </w:r>
          </w:p>
        </w:tc>
        <w:tc>
          <w:tcPr>
            <w:tcW w:w="20" w:type="dxa"/>
            <w:vAlign w:val="bottom"/>
          </w:tcPr>
          <w:p>
            <w:pPr>
              <w:spacing w:after="0"/>
              <w:rPr>
                <w:sz w:val="19"/>
                <w:szCs w:val="19"/>
                <w:color w:val="auto"/>
              </w:rPr>
            </w:pPr>
          </w:p>
        </w:tc>
        <w:tc>
          <w:tcPr>
            <w:tcW w:w="980" w:type="dxa"/>
            <w:vAlign w:val="bottom"/>
            <w:vMerge w:val="restart"/>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501"/>
        </w:trPr>
        <w:tc>
          <w:tcPr>
            <w:tcW w:w="8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2012</w:t>
            </w:r>
          </w:p>
        </w:tc>
        <w:tc>
          <w:tcPr>
            <w:tcW w:w="20" w:type="dxa"/>
            <w:vAlign w:val="bottom"/>
            <w:shd w:val="clear" w:color="auto" w:fill="E5E6E6"/>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w w:val="99"/>
              </w:rPr>
              <w:t>Yes</w:t>
            </w:r>
          </w:p>
        </w:tc>
        <w:tc>
          <w:tcPr>
            <w:tcW w:w="20" w:type="dxa"/>
            <w:vAlign w:val="bottom"/>
            <w:shd w:val="clear" w:color="auto" w:fill="E5E6E6"/>
          </w:tcPr>
          <w:p>
            <w:pPr>
              <w:spacing w:after="0"/>
              <w:rPr>
                <w:sz w:val="24"/>
                <w:szCs w:val="24"/>
                <w:color w:val="auto"/>
              </w:rPr>
            </w:pPr>
          </w:p>
        </w:tc>
        <w:tc>
          <w:tcPr>
            <w:tcW w:w="980" w:type="dxa"/>
            <w:vAlign w:val="bottom"/>
            <w:vMerge w:val="restart"/>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582"/>
        </w:trPr>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2016</w:t>
            </w:r>
          </w:p>
        </w:tc>
        <w:tc>
          <w:tcPr>
            <w:tcW w:w="20" w:type="dxa"/>
            <w:vAlign w:val="bottom"/>
          </w:tcPr>
          <w:p>
            <w:pPr>
              <w:spacing w:after="0"/>
              <w:rPr>
                <w:sz w:val="24"/>
                <w:szCs w:val="2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w w:val="99"/>
              </w:rPr>
              <w:t>Yes</w:t>
            </w:r>
          </w:p>
        </w:tc>
        <w:tc>
          <w:tcPr>
            <w:tcW w:w="20" w:type="dxa"/>
            <w:vAlign w:val="bottom"/>
          </w:tcPr>
          <w:p>
            <w:pPr>
              <w:spacing w:after="0"/>
              <w:rPr>
                <w:sz w:val="24"/>
                <w:szCs w:val="24"/>
                <w:color w:val="auto"/>
              </w:rPr>
            </w:pPr>
          </w:p>
        </w:tc>
        <w:tc>
          <w:tcPr>
            <w:tcW w:w="980" w:type="dxa"/>
            <w:vAlign w:val="bottom"/>
            <w:vMerge w:val="restart"/>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420"/>
        </w:trPr>
        <w:tc>
          <w:tcPr>
            <w:tcW w:w="8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1999</w:t>
            </w:r>
          </w:p>
        </w:tc>
        <w:tc>
          <w:tcPr>
            <w:tcW w:w="20" w:type="dxa"/>
            <w:vAlign w:val="bottom"/>
            <w:shd w:val="clear" w:color="auto" w:fill="E5E6E6"/>
          </w:tcPr>
          <w:p>
            <w:pPr>
              <w:spacing w:after="0"/>
              <w:rPr>
                <w:sz w:val="19"/>
                <w:szCs w:val="19"/>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w w:val="99"/>
              </w:rPr>
              <w:t>Yes</w:t>
            </w:r>
          </w:p>
        </w:tc>
        <w:tc>
          <w:tcPr>
            <w:tcW w:w="20" w:type="dxa"/>
            <w:vAlign w:val="bottom"/>
            <w:shd w:val="clear" w:color="auto" w:fill="E5E6E6"/>
          </w:tcPr>
          <w:p>
            <w:pPr>
              <w:spacing w:after="0"/>
              <w:rPr>
                <w:sz w:val="19"/>
                <w:szCs w:val="19"/>
                <w:color w:val="auto"/>
              </w:rPr>
            </w:pPr>
          </w:p>
        </w:tc>
        <w:tc>
          <w:tcPr>
            <w:tcW w:w="980" w:type="dxa"/>
            <w:vAlign w:val="bottom"/>
            <w:vMerge w:val="restart"/>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339"/>
        </w:trPr>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840" w:type="dxa"/>
            <w:vAlign w:val="bottom"/>
            <w:vMerge w:val="restart"/>
          </w:tcPr>
          <w:p>
            <w:pPr>
              <w:jc w:val="center"/>
              <w:ind w:right="208"/>
              <w:spacing w:after="0"/>
              <w:rPr>
                <w:sz w:val="20"/>
                <w:szCs w:val="20"/>
                <w:color w:val="auto"/>
              </w:rPr>
            </w:pPr>
            <w:r>
              <w:rPr>
                <w:rFonts w:ascii="Arial" w:cs="Arial" w:eastAsia="Arial" w:hAnsi="Arial"/>
                <w:sz w:val="14"/>
                <w:szCs w:val="14"/>
                <w:color w:val="58585A"/>
              </w:rPr>
              <w:t>2016</w:t>
            </w:r>
          </w:p>
        </w:tc>
        <w:tc>
          <w:tcPr>
            <w:tcW w:w="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58585A"/>
                <w:w w:val="99"/>
              </w:rPr>
              <w:t>Yes</w:t>
            </w:r>
          </w:p>
        </w:tc>
        <w:tc>
          <w:tcPr>
            <w:tcW w:w="20" w:type="dxa"/>
            <w:vAlign w:val="bottom"/>
          </w:tcPr>
          <w:p>
            <w:pPr>
              <w:spacing w:after="0"/>
              <w:rPr>
                <w:sz w:val="12"/>
                <w:szCs w:val="12"/>
                <w:color w:val="auto"/>
              </w:rPr>
            </w:pPr>
          </w:p>
        </w:tc>
        <w:tc>
          <w:tcPr>
            <w:tcW w:w="980" w:type="dxa"/>
            <w:vAlign w:val="bottom"/>
            <w:vMerge w:val="restart"/>
          </w:tcPr>
          <w:p>
            <w:pPr>
              <w:jc w:val="center"/>
              <w:ind w:left="148"/>
              <w:spacing w:after="0"/>
              <w:rPr>
                <w:sz w:val="20"/>
                <w:szCs w:val="20"/>
                <w:color w:val="auto"/>
              </w:rPr>
            </w:pPr>
            <w:r>
              <w:rPr>
                <w:rFonts w:ascii="Arial" w:cs="Arial" w:eastAsia="Arial" w:hAnsi="Arial"/>
                <w:sz w:val="14"/>
                <w:szCs w:val="14"/>
                <w:color w:val="58585A"/>
              </w:rPr>
              <w:t>None</w:t>
            </w:r>
          </w:p>
        </w:tc>
        <w:tc>
          <w:tcPr>
            <w:tcW w:w="0" w:type="dxa"/>
            <w:vAlign w:val="bottom"/>
          </w:tcPr>
          <w:p>
            <w:pPr>
              <w:spacing w:after="0"/>
              <w:rPr>
                <w:sz w:val="1"/>
                <w:szCs w:val="1"/>
                <w:color w:val="auto"/>
              </w:rPr>
            </w:pPr>
          </w:p>
        </w:tc>
      </w:tr>
      <w:tr>
        <w:trPr>
          <w:trHeight w:val="582"/>
        </w:trPr>
        <w:tc>
          <w:tcPr>
            <w:tcW w:w="84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4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shd w:val="clear" w:color="auto" w:fill="E5E6E6"/>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-5048250</wp:posOffset>
            </wp:positionV>
            <wp:extent cx="7132320" cy="5048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5048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FFFFFF"/>
        </w:rPr>
        <w:t>Committee Membership</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FFFFFF"/>
        </w:rPr>
        <w:t>(C= Chair)</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4"/>
          <w:szCs w:val="14"/>
          <w:color w:val="58585A"/>
        </w:rPr>
        <w:t>Audit</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58585A"/>
        </w:rPr>
        <w:t>Risk</w:t>
      </w:r>
    </w:p>
    <w:p>
      <w:pPr>
        <w:spacing w:after="0" w:line="325" w:lineRule="exact"/>
        <w:rPr>
          <w:sz w:val="20"/>
          <w:szCs w:val="20"/>
          <w:color w:val="auto"/>
        </w:rPr>
      </w:pPr>
    </w:p>
    <w:p>
      <w:pPr>
        <w:ind w:left="1200"/>
        <w:spacing w:after="0"/>
        <w:rPr>
          <w:sz w:val="20"/>
          <w:szCs w:val="20"/>
          <w:color w:val="auto"/>
        </w:rPr>
      </w:pPr>
      <w:r>
        <w:rPr>
          <w:rFonts w:ascii="Arial" w:cs="Arial" w:eastAsia="Arial" w:hAnsi="Arial"/>
          <w:sz w:val="14"/>
          <w:szCs w:val="14"/>
          <w:color w:val="58585A"/>
        </w:rPr>
        <w:t>None</w:t>
      </w:r>
    </w:p>
    <w:p>
      <w:pPr>
        <w:spacing w:after="0" w:line="163" w:lineRule="exact"/>
        <w:rPr>
          <w:sz w:val="20"/>
          <w:szCs w:val="20"/>
          <w:color w:val="auto"/>
        </w:rPr>
      </w:pPr>
    </w:p>
    <w:p>
      <w:pPr>
        <w:ind w:left="1060"/>
        <w:spacing w:after="0"/>
        <w:rPr>
          <w:sz w:val="20"/>
          <w:szCs w:val="20"/>
          <w:color w:val="auto"/>
        </w:rPr>
      </w:pPr>
      <w:r>
        <w:rPr>
          <w:rFonts w:ascii="Arial" w:cs="Arial" w:eastAsia="Arial" w:hAnsi="Arial"/>
          <w:sz w:val="14"/>
          <w:szCs w:val="14"/>
          <w:color w:val="58585A"/>
        </w:rPr>
        <w:t>Executive</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Nominating and Corporate Governance</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Risk</w:t>
      </w:r>
    </w:p>
    <w:p>
      <w:pPr>
        <w:spacing w:after="0" w:line="163"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Audit</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Executive</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Risk (C)</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Talent and Compensation</w:t>
      </w:r>
    </w:p>
    <w:p>
      <w:pPr>
        <w:spacing w:after="0" w:line="163"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Executive</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Nominating and Corporate Governance (C)</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Risk</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Talent and Compensation</w:t>
      </w:r>
    </w:p>
    <w:p>
      <w:pPr>
        <w:spacing w:after="0" w:line="200" w:lineRule="exact"/>
        <w:rPr>
          <w:sz w:val="20"/>
          <w:szCs w:val="20"/>
          <w:color w:val="auto"/>
        </w:rPr>
      </w:pPr>
    </w:p>
    <w:p>
      <w:pPr>
        <w:spacing w:after="0" w:line="206" w:lineRule="exact"/>
        <w:rPr>
          <w:sz w:val="20"/>
          <w:szCs w:val="20"/>
          <w:color w:val="auto"/>
        </w:rPr>
      </w:pPr>
    </w:p>
    <w:p>
      <w:pPr>
        <w:ind w:left="940"/>
        <w:spacing w:after="0"/>
        <w:rPr>
          <w:sz w:val="20"/>
          <w:szCs w:val="20"/>
          <w:color w:val="auto"/>
        </w:rPr>
      </w:pPr>
      <w:r>
        <w:rPr>
          <w:rFonts w:ascii="Arial" w:cs="Arial" w:eastAsia="Arial" w:hAnsi="Arial"/>
          <w:sz w:val="14"/>
          <w:szCs w:val="14"/>
          <w:color w:val="58585A"/>
        </w:rPr>
        <w:t>Executive (C)</w:t>
      </w:r>
    </w:p>
    <w:p>
      <w:pPr>
        <w:spacing w:after="0" w:line="200" w:lineRule="exact"/>
        <w:rPr>
          <w:sz w:val="20"/>
          <w:szCs w:val="20"/>
          <w:color w:val="auto"/>
        </w:rPr>
      </w:pPr>
    </w:p>
    <w:p>
      <w:pPr>
        <w:spacing w:after="0" w:line="368" w:lineRule="exact"/>
        <w:rPr>
          <w:sz w:val="20"/>
          <w:szCs w:val="20"/>
          <w:color w:val="auto"/>
        </w:rPr>
      </w:pPr>
    </w:p>
    <w:p>
      <w:pPr>
        <w:ind w:left="440"/>
        <w:spacing w:after="0"/>
        <w:rPr>
          <w:sz w:val="20"/>
          <w:szCs w:val="20"/>
          <w:color w:val="auto"/>
        </w:rPr>
      </w:pPr>
      <w:r>
        <w:rPr>
          <w:rFonts w:ascii="Arial" w:cs="Arial" w:eastAsia="Arial" w:hAnsi="Arial"/>
          <w:sz w:val="14"/>
          <w:szCs w:val="14"/>
          <w:color w:val="58585A"/>
        </w:rPr>
        <w:t>Talent and Compensation (C)</w:t>
      </w:r>
    </w:p>
    <w:p>
      <w:pPr>
        <w:spacing w:after="0" w:line="325"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Lead Director</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Audit</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Executive</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Nominating and Corporate Governance</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Risk</w:t>
      </w:r>
    </w:p>
    <w:p>
      <w:pPr>
        <w:spacing w:after="0" w:line="325"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Audit (C)</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58585A"/>
        </w:rPr>
        <w:t>Talent and Compensation</w:t>
      </w:r>
    </w:p>
    <w:p>
      <w:pPr>
        <w:spacing w:after="0" w:line="325" w:lineRule="exact"/>
        <w:rPr>
          <w:sz w:val="20"/>
          <w:szCs w:val="20"/>
          <w:color w:val="auto"/>
        </w:rPr>
      </w:pPr>
    </w:p>
    <w:p>
      <w:pPr>
        <w:ind w:left="560"/>
        <w:spacing w:after="0"/>
        <w:rPr>
          <w:sz w:val="20"/>
          <w:szCs w:val="20"/>
          <w:color w:val="auto"/>
        </w:rPr>
      </w:pPr>
      <w:r>
        <w:rPr>
          <w:rFonts w:ascii="Arial" w:cs="Arial" w:eastAsia="Arial" w:hAnsi="Arial"/>
          <w:sz w:val="14"/>
          <w:szCs w:val="14"/>
          <w:color w:val="58585A"/>
        </w:rPr>
        <w:t>Talent and Compensation</w:t>
      </w: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4"/>
          <w:szCs w:val="14"/>
          <w:color w:val="58585A"/>
        </w:rPr>
        <w:t>Nominating and Corporate Governance</w:t>
      </w:r>
    </w:p>
    <w:p>
      <w:pPr>
        <w:spacing w:after="0" w:line="614" w:lineRule="exact"/>
        <w:rPr>
          <w:sz w:val="20"/>
          <w:szCs w:val="20"/>
          <w:color w:val="auto"/>
        </w:rPr>
      </w:pPr>
    </w:p>
    <w:p>
      <w:pPr>
        <w:sectPr>
          <w:pgSz w:w="11900" w:h="16838" w:orient="portrait"/>
          <w:cols w:equalWidth="0" w:num="4">
            <w:col w:w="1380" w:space="480"/>
            <w:col w:w="2400" w:space="320"/>
            <w:col w:w="3180" w:space="480"/>
            <w:col w:w="3000"/>
          </w:cols>
          <w:pgMar w:left="320" w:top="308"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7"/>
          <w:szCs w:val="27"/>
          <w:b w:val="1"/>
          <w:bCs w:val="1"/>
          <w:color w:val="1178A9"/>
        </w:rPr>
        <w:t>Overall Board Composition and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911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91198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320"/>
        <w:spacing w:after="0" w:line="236" w:lineRule="auto"/>
        <w:rPr>
          <w:sz w:val="20"/>
          <w:szCs w:val="20"/>
          <w:color w:val="auto"/>
        </w:rPr>
      </w:pPr>
      <w:r>
        <w:rPr>
          <w:rFonts w:ascii="Arial" w:cs="Arial" w:eastAsia="Arial" w:hAnsi="Arial"/>
          <w:sz w:val="18"/>
          <w:szCs w:val="18"/>
          <w:color w:val="auto"/>
        </w:rPr>
        <w:t>Our Bylaws provide that the number of directors on the Board may range from eight to fourteen. The Board’s current size is 11 directors and may fluctuate in the future as the Board recruits new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FFFFFF"/>
        </w:rPr>
        <w:t>Our Board’s current composition has resulted from a thoughtful process of:</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Analyzing the effectiveness of our Board</w:t>
      </w:r>
    </w:p>
    <w:p>
      <w:pPr>
        <w:spacing w:after="0" w:line="266" w:lineRule="exact"/>
        <w:rPr>
          <w:sz w:val="20"/>
          <w:szCs w:val="20"/>
          <w:color w:val="auto"/>
        </w:rPr>
      </w:pPr>
    </w:p>
    <w:p>
      <w:pPr>
        <w:ind w:left="560" w:right="380"/>
        <w:spacing w:after="0" w:line="246" w:lineRule="auto"/>
        <w:rPr>
          <w:sz w:val="20"/>
          <w:szCs w:val="20"/>
          <w:color w:val="auto"/>
        </w:rPr>
      </w:pPr>
      <w:r>
        <w:rPr>
          <w:rFonts w:ascii="Arial" w:cs="Arial" w:eastAsia="Arial" w:hAnsi="Arial"/>
          <w:sz w:val="18"/>
          <w:szCs w:val="18"/>
          <w:color w:val="auto"/>
        </w:rPr>
        <w:t>Identifying the qualifications and experience that we believe should be represented on our Board in light of our industry, business strategy, and risk appetite</w:t>
      </w:r>
    </w:p>
    <w:p>
      <w:pPr>
        <w:spacing w:after="0" w:line="183" w:lineRule="exact"/>
        <w:rPr>
          <w:sz w:val="20"/>
          <w:szCs w:val="20"/>
          <w:color w:val="auto"/>
        </w:rPr>
      </w:pPr>
    </w:p>
    <w:p>
      <w:pPr>
        <w:ind w:left="560" w:right="80"/>
        <w:spacing w:after="0" w:line="246" w:lineRule="auto"/>
        <w:rPr>
          <w:sz w:val="20"/>
          <w:szCs w:val="20"/>
          <w:color w:val="auto"/>
        </w:rPr>
      </w:pPr>
      <w:r>
        <w:rPr>
          <w:rFonts w:ascii="Arial" w:cs="Arial" w:eastAsia="Arial" w:hAnsi="Arial"/>
          <w:sz w:val="18"/>
          <w:szCs w:val="18"/>
          <w:color w:val="auto"/>
        </w:rPr>
        <w:t>Considering the diversity of viewpoints, professional experience, education,qualifications, and skills that each of our Board members bring to the Board</w:t>
      </w:r>
    </w:p>
    <w:p>
      <w:pPr>
        <w:spacing w:after="0" w:line="183" w:lineRule="exact"/>
        <w:rPr>
          <w:sz w:val="20"/>
          <w:szCs w:val="20"/>
          <w:color w:val="auto"/>
        </w:rPr>
      </w:pPr>
    </w:p>
    <w:p>
      <w:pPr>
        <w:ind w:left="560"/>
        <w:spacing w:after="0" w:line="246" w:lineRule="auto"/>
        <w:rPr>
          <w:sz w:val="20"/>
          <w:szCs w:val="20"/>
          <w:color w:val="auto"/>
        </w:rPr>
      </w:pPr>
      <w:r>
        <w:rPr>
          <w:rFonts w:ascii="Arial" w:cs="Arial" w:eastAsia="Arial" w:hAnsi="Arial"/>
          <w:sz w:val="18"/>
          <w:szCs w:val="18"/>
          <w:color w:val="auto"/>
        </w:rPr>
        <w:t>Recognizing that the strength of our Board is driven by the collective qualifications and skills of our Board members combined with engaged and open dialogue</w:t>
      </w:r>
    </w:p>
    <w:p>
      <w:pPr>
        <w:spacing w:after="0" w:line="200" w:lineRule="exact"/>
        <w:rPr>
          <w:sz w:val="20"/>
          <w:szCs w:val="20"/>
          <w:color w:val="auto"/>
        </w:rPr>
      </w:pPr>
    </w:p>
    <w:p>
      <w:pPr>
        <w:sectPr>
          <w:pgSz w:w="11900" w:h="16838" w:orient="portrait"/>
          <w:cols w:equalWidth="0" w:num="2">
            <w:col w:w="2540" w:space="620"/>
            <w:col w:w="8080"/>
          </w:cols>
          <w:pgMar w:left="320" w:top="320" w:right="3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27"/>
          <w:szCs w:val="27"/>
          <w:b w:val="1"/>
          <w:bCs w:val="1"/>
          <w:color w:val="1178A9"/>
        </w:rPr>
        <w:t>Identifying and Evaluating Director Candidates</w:t>
      </w:r>
    </w:p>
    <w:p>
      <w:pPr>
        <w:spacing w:after="0" w:line="23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Board regularly reviews and evaluates its composition. Our Nominating and Corporate Governance Committee is responsible for identifying and recommending director candidates to our Board for nomination using a director selection process. The Board, in coordination with the Nominating and Corporate Governance Committee, also considers Board leadership succession planning and committee membership.</w:t>
      </w:r>
    </w:p>
    <w:p>
      <w:pPr>
        <w:spacing w:after="0" w:line="191"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The Nominating and Corporate Governance Committee uses a variety of methods to identify potential director candidates, including recommendations that it receives from:</w:t>
      </w:r>
    </w:p>
    <w:p>
      <w:pPr>
        <w:spacing w:after="0" w:line="179" w:lineRule="exact"/>
        <w:rPr>
          <w:sz w:val="20"/>
          <w:szCs w:val="20"/>
          <w:color w:val="auto"/>
        </w:rPr>
      </w:pPr>
    </w:p>
    <w:p>
      <w:pPr>
        <w:ind w:left="580" w:hanging="32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Directors</w:t>
      </w:r>
    </w:p>
    <w:p>
      <w:pPr>
        <w:ind w:left="580" w:hanging="329"/>
        <w:spacing w:after="0" w:line="234"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Shareholders</w:t>
      </w:r>
    </w:p>
    <w:p>
      <w:pPr>
        <w:ind w:left="580" w:hanging="329"/>
        <w:spacing w:after="0" w:line="234"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and contacts in the communities we serve</w:t>
      </w:r>
    </w:p>
    <w:p>
      <w:pPr>
        <w:ind w:left="580" w:hanging="329"/>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search firms</w:t>
      </w:r>
    </w:p>
    <w:p>
      <w:pPr>
        <w:spacing w:after="0" w:line="198"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The Nominating and Corporate Governance Committee has retained a third-party search firm to assist in identifying potential Board candidates who meet our qualification and experience requirements and, for any such candidate identified by the search firm, to compile and evaluate information regarding the candidate’s qualifications, experience, and education.</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When considering a candidate for membership on the Board, the Nominating and Corporate Governance Committee assesses a candidate’s independence, qualifications, skills, and experience, as compared to the areas of qualifications, skills, and experience that the Board has identified as important to be reflected on the Board. The Nominating and Corporate Governance Committee also evaluates the collective contribution of qualifications, skills, and experience of Board nominees. The goal of that evaluation is to ensure that the Board, as a whole, possesses the necessary qualifications, skills, and experience relevant to the Company for effective oversight.</w:t>
      </w:r>
    </w:p>
    <w:p>
      <w:pPr>
        <w:spacing w:after="0" w:line="18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Although the Nominating and Corporate Governance Committee does not have a specific policy governing diversity, it considers, in identifying nominees for director, a nominee’s professional experience, education, qualifications, and skills with a view towards having a diversity of viewpoints in the broadest sense being represented on the Board. These considerations include, without limitation, the individual’s interest in United, independence, integrity, reputation, business experience, education, accounting and financial expertise, age, race, ethnicity, gender, civic and community relationships and knowledge and experience in matters impacting financial institutions.</w:t>
      </w:r>
    </w:p>
    <w:p>
      <w:pPr>
        <w:spacing w:after="0" w:line="189" w:lineRule="exact"/>
        <w:rPr>
          <w:sz w:val="20"/>
          <w:szCs w:val="20"/>
          <w:color w:val="auto"/>
        </w:rPr>
      </w:pPr>
    </w:p>
    <w:p>
      <w:pPr>
        <w:ind w:right="700"/>
        <w:spacing w:after="0" w:line="238" w:lineRule="auto"/>
        <w:rPr>
          <w:sz w:val="20"/>
          <w:szCs w:val="20"/>
          <w:color w:val="auto"/>
        </w:rPr>
      </w:pPr>
      <w:r>
        <w:rPr>
          <w:rFonts w:ascii="Arial" w:cs="Arial" w:eastAsia="Arial" w:hAnsi="Arial"/>
          <w:sz w:val="18"/>
          <w:szCs w:val="18"/>
          <w:color w:val="auto"/>
        </w:rPr>
        <w:t>With respect to incumbent directors considered for re-election, the Nominating and Corporate Governance Committee also assesses each director’s performance, contribution, level of engagement, and meeting attendance record. In addition, the Nominating and Corporate Governance Committee determines whether nominees are in a position to devote an adequate amount of time to the effective performance of director duties.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7"/>
          <w:szCs w:val="27"/>
          <w:b w:val="1"/>
          <w:bCs w:val="1"/>
          <w:color w:val="1178A9"/>
        </w:rPr>
        <w:t>Board Qualifications and Experience</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color w:val="1178A9"/>
        </w:rPr>
        <w:t>Threshold Qualifications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Board has identified that directors should possess the following core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1270</wp:posOffset>
            </wp:positionV>
            <wp:extent cx="8255" cy="822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1270</wp:posOffset>
            </wp:positionV>
            <wp:extent cx="8890" cy="822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296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1270</wp:posOffset>
            </wp:positionV>
            <wp:extent cx="8890" cy="822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229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8"/>
        </w:trPr>
        <w:tc>
          <w:tcPr>
            <w:tcW w:w="2960" w:type="dxa"/>
            <w:vAlign w:val="bottom"/>
            <w:shd w:val="clear" w:color="auto" w:fill="E5E6E6"/>
          </w:tcPr>
          <w:p>
            <w:pPr>
              <w:jc w:val="center"/>
              <w:spacing w:after="0"/>
              <w:rPr>
                <w:sz w:val="20"/>
                <w:szCs w:val="20"/>
                <w:color w:val="auto"/>
              </w:rPr>
            </w:pPr>
            <w:r>
              <w:rPr>
                <w:rFonts w:ascii="Arial" w:cs="Arial" w:eastAsia="Arial" w:hAnsi="Arial"/>
                <w:sz w:val="20"/>
                <w:szCs w:val="20"/>
                <w:b w:val="1"/>
                <w:bCs w:val="1"/>
                <w:color w:val="1178A9"/>
                <w:w w:val="98"/>
              </w:rPr>
              <w:t>Character and Integrity:</w:t>
            </w:r>
          </w:p>
        </w:tc>
        <w:tc>
          <w:tcPr>
            <w:tcW w:w="2860" w:type="dxa"/>
            <w:vAlign w:val="bottom"/>
            <w:shd w:val="clear" w:color="auto" w:fill="E5E6E6"/>
          </w:tcPr>
          <w:p>
            <w:pPr>
              <w:jc w:val="center"/>
              <w:spacing w:after="0"/>
              <w:rPr>
                <w:sz w:val="20"/>
                <w:szCs w:val="20"/>
                <w:color w:val="auto"/>
              </w:rPr>
            </w:pPr>
            <w:r>
              <w:rPr>
                <w:rFonts w:ascii="Arial" w:cs="Arial" w:eastAsia="Arial" w:hAnsi="Arial"/>
                <w:sz w:val="20"/>
                <w:szCs w:val="20"/>
                <w:b w:val="1"/>
                <w:bCs w:val="1"/>
                <w:color w:val="1178A9"/>
                <w:w w:val="98"/>
              </w:rPr>
              <w:t>Record of Achievement:</w:t>
            </w:r>
          </w:p>
        </w:tc>
        <w:tc>
          <w:tcPr>
            <w:tcW w:w="2820" w:type="dxa"/>
            <w:vAlign w:val="bottom"/>
            <w:shd w:val="clear" w:color="auto" w:fill="E5E6E6"/>
          </w:tcPr>
          <w:p>
            <w:pPr>
              <w:ind w:left="320"/>
              <w:spacing w:after="0"/>
              <w:rPr>
                <w:sz w:val="20"/>
                <w:szCs w:val="20"/>
                <w:color w:val="auto"/>
              </w:rPr>
            </w:pPr>
            <w:r>
              <w:rPr>
                <w:rFonts w:ascii="Arial" w:cs="Arial" w:eastAsia="Arial" w:hAnsi="Arial"/>
                <w:sz w:val="20"/>
                <w:szCs w:val="20"/>
                <w:b w:val="1"/>
                <w:bCs w:val="1"/>
                <w:color w:val="1178A9"/>
              </w:rPr>
              <w:t>Relevant Professional</w:t>
            </w:r>
          </w:p>
        </w:tc>
        <w:tc>
          <w:tcPr>
            <w:tcW w:w="2600" w:type="dxa"/>
            <w:vAlign w:val="bottom"/>
            <w:shd w:val="clear" w:color="auto" w:fill="E5E6E6"/>
          </w:tcPr>
          <w:p>
            <w:pPr>
              <w:jc w:val="center"/>
              <w:spacing w:after="0"/>
              <w:rPr>
                <w:sz w:val="20"/>
                <w:szCs w:val="20"/>
                <w:color w:val="auto"/>
              </w:rPr>
            </w:pPr>
            <w:r>
              <w:rPr>
                <w:rFonts w:ascii="Arial" w:cs="Arial" w:eastAsia="Arial" w:hAnsi="Arial"/>
                <w:sz w:val="20"/>
                <w:szCs w:val="20"/>
                <w:b w:val="1"/>
                <w:bCs w:val="1"/>
                <w:color w:val="1178A9"/>
                <w:w w:val="98"/>
              </w:rPr>
              <w:t>Cooperative Approach:</w:t>
            </w:r>
          </w:p>
        </w:tc>
      </w:tr>
      <w:tr>
        <w:trPr>
          <w:trHeight w:val="248"/>
        </w:trPr>
        <w:tc>
          <w:tcPr>
            <w:tcW w:w="2960" w:type="dxa"/>
            <w:vAlign w:val="bottom"/>
            <w:shd w:val="clear" w:color="auto" w:fill="E5E6E6"/>
          </w:tcPr>
          <w:p>
            <w:pPr>
              <w:spacing w:after="0"/>
              <w:rPr>
                <w:sz w:val="21"/>
                <w:szCs w:val="21"/>
                <w:color w:val="auto"/>
              </w:rPr>
            </w:pPr>
          </w:p>
        </w:tc>
        <w:tc>
          <w:tcPr>
            <w:tcW w:w="2860" w:type="dxa"/>
            <w:vAlign w:val="bottom"/>
            <w:shd w:val="clear" w:color="auto" w:fill="E5E6E6"/>
          </w:tcPr>
          <w:p>
            <w:pPr>
              <w:spacing w:after="0"/>
              <w:rPr>
                <w:sz w:val="21"/>
                <w:szCs w:val="21"/>
                <w:color w:val="auto"/>
              </w:rPr>
            </w:pPr>
          </w:p>
        </w:tc>
        <w:tc>
          <w:tcPr>
            <w:tcW w:w="2820" w:type="dxa"/>
            <w:vAlign w:val="bottom"/>
            <w:shd w:val="clear" w:color="auto" w:fill="E5E6E6"/>
          </w:tcPr>
          <w:p>
            <w:pPr>
              <w:jc w:val="center"/>
              <w:spacing w:after="0"/>
              <w:rPr>
                <w:sz w:val="20"/>
                <w:szCs w:val="20"/>
                <w:color w:val="auto"/>
              </w:rPr>
            </w:pPr>
            <w:r>
              <w:rPr>
                <w:rFonts w:ascii="Arial" w:cs="Arial" w:eastAsia="Arial" w:hAnsi="Arial"/>
                <w:sz w:val="20"/>
                <w:szCs w:val="20"/>
                <w:b w:val="1"/>
                <w:bCs w:val="1"/>
                <w:color w:val="1178A9"/>
                <w:w w:val="98"/>
              </w:rPr>
              <w:t>or Business Experience:</w:t>
            </w:r>
          </w:p>
        </w:tc>
        <w:tc>
          <w:tcPr>
            <w:tcW w:w="2600" w:type="dxa"/>
            <w:vAlign w:val="bottom"/>
            <w:shd w:val="clear" w:color="auto" w:fill="E5E6E6"/>
          </w:tcPr>
          <w:p>
            <w:pPr>
              <w:spacing w:after="0"/>
              <w:rPr>
                <w:sz w:val="21"/>
                <w:szCs w:val="21"/>
                <w:color w:val="auto"/>
              </w:rPr>
            </w:pPr>
          </w:p>
        </w:tc>
      </w:tr>
      <w:tr>
        <w:trPr>
          <w:trHeight w:val="162"/>
        </w:trPr>
        <w:tc>
          <w:tcPr>
            <w:tcW w:w="296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Must be an individual who exhibits integrity</w:t>
            </w:r>
          </w:p>
        </w:tc>
        <w:tc>
          <w:tcPr>
            <w:tcW w:w="286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Commitment to excellence, demonstrated</w:t>
            </w:r>
          </w:p>
        </w:tc>
        <w:tc>
          <w:tcPr>
            <w:tcW w:w="282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Understands the Company’s business or</w:t>
            </w:r>
          </w:p>
        </w:tc>
        <w:tc>
          <w:tcPr>
            <w:tcW w:w="260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Ability to work constructively in a</w:t>
            </w:r>
          </w:p>
        </w:tc>
      </w:tr>
      <w:tr>
        <w:trPr>
          <w:trHeight w:val="162"/>
        </w:trPr>
        <w:tc>
          <w:tcPr>
            <w:tcW w:w="296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and informed judgment</w:t>
            </w:r>
          </w:p>
        </w:tc>
        <w:tc>
          <w:tcPr>
            <w:tcW w:w="286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by professional achievements and</w:t>
            </w:r>
          </w:p>
        </w:tc>
        <w:tc>
          <w:tcPr>
            <w:tcW w:w="282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other related industries</w:t>
            </w:r>
          </w:p>
        </w:tc>
        <w:tc>
          <w:tcPr>
            <w:tcW w:w="260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collegial manner and willingness and</w:t>
            </w:r>
          </w:p>
        </w:tc>
      </w:tr>
      <w:tr>
        <w:trPr>
          <w:trHeight w:val="162"/>
        </w:trPr>
        <w:tc>
          <w:tcPr>
            <w:tcW w:w="2960" w:type="dxa"/>
            <w:vAlign w:val="bottom"/>
            <w:shd w:val="clear" w:color="auto" w:fill="E5E6E6"/>
          </w:tcPr>
          <w:p>
            <w:pPr>
              <w:spacing w:after="0"/>
              <w:rPr>
                <w:sz w:val="14"/>
                <w:szCs w:val="14"/>
                <w:color w:val="auto"/>
              </w:rPr>
            </w:pPr>
          </w:p>
        </w:tc>
        <w:tc>
          <w:tcPr>
            <w:tcW w:w="286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leadership experience</w:t>
            </w:r>
          </w:p>
        </w:tc>
        <w:tc>
          <w:tcPr>
            <w:tcW w:w="2820" w:type="dxa"/>
            <w:vAlign w:val="bottom"/>
            <w:shd w:val="clear" w:color="auto" w:fill="E5E6E6"/>
          </w:tcPr>
          <w:p>
            <w:pPr>
              <w:spacing w:after="0"/>
              <w:rPr>
                <w:sz w:val="14"/>
                <w:szCs w:val="14"/>
                <w:color w:val="auto"/>
              </w:rPr>
            </w:pPr>
          </w:p>
        </w:tc>
        <w:tc>
          <w:tcPr>
            <w:tcW w:w="260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ability to candidly consult with and</w:t>
            </w:r>
          </w:p>
        </w:tc>
      </w:tr>
      <w:tr>
        <w:trPr>
          <w:trHeight w:val="172"/>
        </w:trPr>
        <w:tc>
          <w:tcPr>
            <w:tcW w:w="2960" w:type="dxa"/>
            <w:vAlign w:val="bottom"/>
            <w:shd w:val="clear" w:color="auto" w:fill="E5E6E6"/>
          </w:tcPr>
          <w:p>
            <w:pPr>
              <w:spacing w:after="0"/>
              <w:rPr>
                <w:sz w:val="14"/>
                <w:szCs w:val="14"/>
                <w:color w:val="auto"/>
              </w:rPr>
            </w:pPr>
          </w:p>
        </w:tc>
        <w:tc>
          <w:tcPr>
            <w:tcW w:w="2860" w:type="dxa"/>
            <w:vAlign w:val="bottom"/>
            <w:shd w:val="clear" w:color="auto" w:fill="E5E6E6"/>
          </w:tcPr>
          <w:p>
            <w:pPr>
              <w:spacing w:after="0"/>
              <w:rPr>
                <w:sz w:val="14"/>
                <w:szCs w:val="14"/>
                <w:color w:val="auto"/>
              </w:rPr>
            </w:pPr>
          </w:p>
        </w:tc>
        <w:tc>
          <w:tcPr>
            <w:tcW w:w="2820" w:type="dxa"/>
            <w:vAlign w:val="bottom"/>
            <w:shd w:val="clear" w:color="auto" w:fill="E5E6E6"/>
          </w:tcPr>
          <w:p>
            <w:pPr>
              <w:spacing w:after="0"/>
              <w:rPr>
                <w:sz w:val="14"/>
                <w:szCs w:val="14"/>
                <w:color w:val="auto"/>
              </w:rPr>
            </w:pPr>
          </w:p>
        </w:tc>
        <w:tc>
          <w:tcPr>
            <w:tcW w:w="260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advise management</w:t>
            </w:r>
          </w:p>
        </w:tc>
      </w:tr>
      <w:tr>
        <w:trPr>
          <w:trHeight w:val="93"/>
        </w:trPr>
        <w:tc>
          <w:tcPr>
            <w:tcW w:w="2960" w:type="dxa"/>
            <w:vAlign w:val="bottom"/>
            <w:shd w:val="clear" w:color="auto" w:fill="E5E6E6"/>
          </w:tcPr>
          <w:p>
            <w:pPr>
              <w:spacing w:after="0"/>
              <w:rPr>
                <w:sz w:val="8"/>
                <w:szCs w:val="8"/>
                <w:color w:val="auto"/>
              </w:rPr>
            </w:pPr>
          </w:p>
        </w:tc>
        <w:tc>
          <w:tcPr>
            <w:tcW w:w="2860" w:type="dxa"/>
            <w:vAlign w:val="bottom"/>
            <w:shd w:val="clear" w:color="auto" w:fill="E5E6E6"/>
          </w:tcPr>
          <w:p>
            <w:pPr>
              <w:spacing w:after="0"/>
              <w:rPr>
                <w:sz w:val="8"/>
                <w:szCs w:val="8"/>
                <w:color w:val="auto"/>
              </w:rPr>
            </w:pPr>
          </w:p>
        </w:tc>
        <w:tc>
          <w:tcPr>
            <w:tcW w:w="2820" w:type="dxa"/>
            <w:vAlign w:val="bottom"/>
            <w:shd w:val="clear" w:color="auto" w:fill="E5E6E6"/>
          </w:tcPr>
          <w:p>
            <w:pPr>
              <w:spacing w:after="0"/>
              <w:rPr>
                <w:sz w:val="8"/>
                <w:szCs w:val="8"/>
                <w:color w:val="auto"/>
              </w:rPr>
            </w:pPr>
          </w:p>
        </w:tc>
        <w:tc>
          <w:tcPr>
            <w:tcW w:w="2600" w:type="dxa"/>
            <w:vAlign w:val="bottom"/>
            <w:shd w:val="clear" w:color="auto" w:fill="E5E6E6"/>
          </w:tcPr>
          <w:p>
            <w:pPr>
              <w:spacing w:after="0"/>
              <w:rPr>
                <w:sz w:val="8"/>
                <w:szCs w:val="8"/>
                <w:color w:val="auto"/>
              </w:rPr>
            </w:pPr>
          </w:p>
        </w:tc>
      </w:tr>
    </w:tbl>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color w:val="1178A9"/>
        </w:rPr>
        <w:t>Additional Qualifications and Experience Important to Our Business and Strategy</w:t>
      </w:r>
    </w:p>
    <w:p>
      <w:pPr>
        <w:spacing w:after="0" w:line="265"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The Nominating and Corporate Governance Committee and our Board desire that our Board as a whole possess a balance of qualifications and experience that are relevant to our business and strategy. In addition to the threshold qualifications required for Board service, the following are additional qualifications and experience that the Nominating and Corporate Governance Committee and Board has identified as desirable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71525" cy="779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77978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156210</wp:posOffset>
            </wp:positionV>
            <wp:extent cx="771525" cy="771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361" w:lineRule="exact"/>
        <w:rPr>
          <w:sz w:val="20"/>
          <w:szCs w:val="20"/>
          <w:color w:val="auto"/>
        </w:rPr>
      </w:pPr>
    </w:p>
    <w:tbl>
      <w:tblPr>
        <w:tblLayout w:type="fixed"/>
        <w:tblInd w:w="1740" w:type="dxa"/>
        <w:tblCellMar>
          <w:top w:w="0" w:type="dxa"/>
          <w:left w:w="0" w:type="dxa"/>
          <w:bottom w:w="0" w:type="dxa"/>
          <w:right w:w="0" w:type="dxa"/>
        </w:tblCellMar>
      </w:tblPr>
      <w:tr>
        <w:trPr>
          <w:trHeight w:val="245"/>
        </w:trPr>
        <w:tc>
          <w:tcPr>
            <w:tcW w:w="4100" w:type="dxa"/>
            <w:vAlign w:val="bottom"/>
          </w:tcPr>
          <w:p>
            <w:pPr>
              <w:spacing w:after="0"/>
              <w:rPr>
                <w:sz w:val="20"/>
                <w:szCs w:val="20"/>
                <w:color w:val="auto"/>
              </w:rPr>
            </w:pPr>
            <w:r>
              <w:rPr>
                <w:rFonts w:ascii="Arial" w:cs="Arial" w:eastAsia="Arial" w:hAnsi="Arial"/>
                <w:sz w:val="20"/>
                <w:szCs w:val="20"/>
                <w:b w:val="1"/>
                <w:bCs w:val="1"/>
                <w:color w:val="00006C"/>
              </w:rPr>
              <w:t>Executive Management</w:t>
            </w:r>
          </w:p>
        </w:tc>
        <w:tc>
          <w:tcPr>
            <w:tcW w:w="3800" w:type="dxa"/>
            <w:vAlign w:val="bottom"/>
          </w:tcPr>
          <w:p>
            <w:pPr>
              <w:jc w:val="right"/>
              <w:spacing w:after="0"/>
              <w:rPr>
                <w:sz w:val="20"/>
                <w:szCs w:val="20"/>
                <w:color w:val="auto"/>
              </w:rPr>
            </w:pPr>
            <w:r>
              <w:rPr>
                <w:rFonts w:ascii="Arial" w:cs="Arial" w:eastAsia="Arial" w:hAnsi="Arial"/>
                <w:sz w:val="20"/>
                <w:szCs w:val="20"/>
                <w:b w:val="1"/>
                <w:bCs w:val="1"/>
                <w:color w:val="00006C"/>
              </w:rPr>
              <w:t>Human Resources/Compensation</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“C-Suite” experience; leadership experience</w:t>
            </w:r>
          </w:p>
        </w:tc>
        <w:tc>
          <w:tcPr>
            <w:tcW w:w="3800" w:type="dxa"/>
            <w:vAlign w:val="bottom"/>
          </w:tcPr>
          <w:p>
            <w:pPr>
              <w:jc w:val="right"/>
              <w:spacing w:after="0"/>
              <w:rPr>
                <w:sz w:val="20"/>
                <w:szCs w:val="20"/>
                <w:color w:val="auto"/>
              </w:rPr>
            </w:pPr>
            <w:r>
              <w:rPr>
                <w:rFonts w:ascii="Arial" w:cs="Arial" w:eastAsia="Arial" w:hAnsi="Arial"/>
                <w:sz w:val="16"/>
                <w:szCs w:val="16"/>
                <w:color w:val="333333"/>
              </w:rPr>
              <w:t>Experience managing a human</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as a division president or functional leader within</w:t>
            </w:r>
          </w:p>
        </w:tc>
        <w:tc>
          <w:tcPr>
            <w:tcW w:w="3800" w:type="dxa"/>
            <w:vAlign w:val="bottom"/>
          </w:tcPr>
          <w:p>
            <w:pPr>
              <w:jc w:val="right"/>
              <w:spacing w:after="0"/>
              <w:rPr>
                <w:sz w:val="20"/>
                <w:szCs w:val="20"/>
                <w:color w:val="auto"/>
              </w:rPr>
            </w:pPr>
            <w:r>
              <w:rPr>
                <w:rFonts w:ascii="Arial" w:cs="Arial" w:eastAsia="Arial" w:hAnsi="Arial"/>
                <w:sz w:val="16"/>
                <w:szCs w:val="16"/>
                <w:color w:val="333333"/>
              </w:rPr>
              <w:t>resources function; experience with</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a complex organization</w:t>
            </w:r>
          </w:p>
        </w:tc>
        <w:tc>
          <w:tcPr>
            <w:tcW w:w="3800" w:type="dxa"/>
            <w:vAlign w:val="bottom"/>
          </w:tcPr>
          <w:p>
            <w:pPr>
              <w:jc w:val="right"/>
              <w:spacing w:after="0"/>
              <w:rPr>
                <w:sz w:val="20"/>
                <w:szCs w:val="20"/>
                <w:color w:val="auto"/>
              </w:rPr>
            </w:pPr>
            <w:r>
              <w:rPr>
                <w:rFonts w:ascii="Arial" w:cs="Arial" w:eastAsia="Arial" w:hAnsi="Arial"/>
                <w:sz w:val="16"/>
                <w:szCs w:val="16"/>
                <w:color w:val="333333"/>
              </w:rPr>
              <w:t>executive compensation and</w:t>
            </w:r>
          </w:p>
        </w:tc>
      </w:tr>
      <w:tr>
        <w:trPr>
          <w:trHeight w:val="195"/>
        </w:trPr>
        <w:tc>
          <w:tcPr>
            <w:tcW w:w="4100" w:type="dxa"/>
            <w:vAlign w:val="bottom"/>
          </w:tcPr>
          <w:p>
            <w:pPr>
              <w:spacing w:after="0"/>
              <w:rPr>
                <w:sz w:val="16"/>
                <w:szCs w:val="16"/>
                <w:color w:val="auto"/>
              </w:rPr>
            </w:pPr>
          </w:p>
        </w:tc>
        <w:tc>
          <w:tcPr>
            <w:tcW w:w="3800" w:type="dxa"/>
            <w:vAlign w:val="bottom"/>
          </w:tcPr>
          <w:p>
            <w:pPr>
              <w:jc w:val="right"/>
              <w:spacing w:after="0"/>
              <w:rPr>
                <w:sz w:val="20"/>
                <w:szCs w:val="20"/>
                <w:color w:val="auto"/>
              </w:rPr>
            </w:pPr>
            <w:r>
              <w:rPr>
                <w:rFonts w:ascii="Arial" w:cs="Arial" w:eastAsia="Arial" w:hAnsi="Arial"/>
                <w:sz w:val="16"/>
                <w:szCs w:val="16"/>
                <w:color w:val="333333"/>
              </w:rPr>
              <w:t>broad-based incentive planning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71525" cy="780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7804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149225</wp:posOffset>
            </wp:positionV>
            <wp:extent cx="771525" cy="771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350" w:lineRule="exact"/>
        <w:rPr>
          <w:sz w:val="20"/>
          <w:szCs w:val="20"/>
          <w:color w:val="auto"/>
        </w:rPr>
      </w:pPr>
    </w:p>
    <w:tbl>
      <w:tblPr>
        <w:tblLayout w:type="fixed"/>
        <w:tblInd w:w="1740" w:type="dxa"/>
        <w:tblCellMar>
          <w:top w:w="0" w:type="dxa"/>
          <w:left w:w="0" w:type="dxa"/>
          <w:bottom w:w="0" w:type="dxa"/>
          <w:right w:w="0" w:type="dxa"/>
        </w:tblCellMar>
      </w:tblPr>
      <w:tr>
        <w:trPr>
          <w:trHeight w:val="245"/>
        </w:trPr>
        <w:tc>
          <w:tcPr>
            <w:tcW w:w="4340" w:type="dxa"/>
            <w:vAlign w:val="bottom"/>
          </w:tcPr>
          <w:p>
            <w:pPr>
              <w:spacing w:after="0"/>
              <w:rPr>
                <w:sz w:val="20"/>
                <w:szCs w:val="20"/>
                <w:color w:val="auto"/>
              </w:rPr>
            </w:pPr>
            <w:r>
              <w:rPr>
                <w:rFonts w:ascii="Arial" w:cs="Arial" w:eastAsia="Arial" w:hAnsi="Arial"/>
                <w:sz w:val="20"/>
                <w:szCs w:val="20"/>
                <w:b w:val="1"/>
                <w:bCs w:val="1"/>
                <w:color w:val="00006C"/>
              </w:rPr>
              <w:t>Strategic Planning/Oversight</w:t>
            </w:r>
          </w:p>
        </w:tc>
        <w:tc>
          <w:tcPr>
            <w:tcW w:w="3560" w:type="dxa"/>
            <w:vAlign w:val="bottom"/>
          </w:tcPr>
          <w:p>
            <w:pPr>
              <w:jc w:val="right"/>
              <w:spacing w:after="0"/>
              <w:rPr>
                <w:sz w:val="20"/>
                <w:szCs w:val="20"/>
                <w:color w:val="auto"/>
              </w:rPr>
            </w:pPr>
            <w:r>
              <w:rPr>
                <w:rFonts w:ascii="Arial" w:cs="Arial" w:eastAsia="Arial" w:hAnsi="Arial"/>
                <w:sz w:val="20"/>
                <w:szCs w:val="20"/>
                <w:b w:val="1"/>
                <w:bCs w:val="1"/>
                <w:color w:val="00006C"/>
              </w:rPr>
              <w:t>Technology/Cybersecurity</w:t>
            </w:r>
          </w:p>
        </w:tc>
      </w:tr>
      <w:tr>
        <w:trPr>
          <w:trHeight w:val="189"/>
        </w:trPr>
        <w:tc>
          <w:tcPr>
            <w:tcW w:w="4340" w:type="dxa"/>
            <w:vAlign w:val="bottom"/>
          </w:tcPr>
          <w:p>
            <w:pPr>
              <w:spacing w:after="0"/>
              <w:rPr>
                <w:sz w:val="20"/>
                <w:szCs w:val="20"/>
                <w:color w:val="auto"/>
              </w:rPr>
            </w:pPr>
            <w:r>
              <w:rPr>
                <w:rFonts w:ascii="Arial" w:cs="Arial" w:eastAsia="Arial" w:hAnsi="Arial"/>
                <w:sz w:val="16"/>
                <w:szCs w:val="16"/>
                <w:color w:val="auto"/>
              </w:rPr>
              <w:t>Experience developing and implementing operating</w:t>
            </w:r>
          </w:p>
        </w:tc>
        <w:tc>
          <w:tcPr>
            <w:tcW w:w="3560" w:type="dxa"/>
            <w:vAlign w:val="bottom"/>
          </w:tcPr>
          <w:p>
            <w:pPr>
              <w:jc w:val="right"/>
              <w:spacing w:after="0"/>
              <w:rPr>
                <w:sz w:val="20"/>
                <w:szCs w:val="20"/>
                <w:color w:val="auto"/>
              </w:rPr>
            </w:pPr>
            <w:r>
              <w:rPr>
                <w:rFonts w:ascii="Arial" w:cs="Arial" w:eastAsia="Arial" w:hAnsi="Arial"/>
                <w:sz w:val="16"/>
                <w:szCs w:val="16"/>
                <w:color w:val="333333"/>
              </w:rPr>
              <w:t>Experience implementing technology</w:t>
            </w:r>
          </w:p>
        </w:tc>
      </w:tr>
      <w:tr>
        <w:trPr>
          <w:trHeight w:val="189"/>
        </w:trPr>
        <w:tc>
          <w:tcPr>
            <w:tcW w:w="4340" w:type="dxa"/>
            <w:vAlign w:val="bottom"/>
          </w:tcPr>
          <w:p>
            <w:pPr>
              <w:spacing w:after="0"/>
              <w:rPr>
                <w:sz w:val="20"/>
                <w:szCs w:val="20"/>
                <w:color w:val="auto"/>
              </w:rPr>
            </w:pPr>
            <w:r>
              <w:rPr>
                <w:rFonts w:ascii="Arial" w:cs="Arial" w:eastAsia="Arial" w:hAnsi="Arial"/>
                <w:sz w:val="16"/>
                <w:szCs w:val="16"/>
                <w:color w:val="auto"/>
              </w:rPr>
              <w:t>plans and business strategy</w:t>
            </w:r>
          </w:p>
        </w:tc>
        <w:tc>
          <w:tcPr>
            <w:tcW w:w="3560" w:type="dxa"/>
            <w:vAlign w:val="bottom"/>
          </w:tcPr>
          <w:p>
            <w:pPr>
              <w:jc w:val="right"/>
              <w:spacing w:after="0"/>
              <w:rPr>
                <w:sz w:val="20"/>
                <w:szCs w:val="20"/>
                <w:color w:val="auto"/>
              </w:rPr>
            </w:pPr>
            <w:r>
              <w:rPr>
                <w:rFonts w:ascii="Arial" w:cs="Arial" w:eastAsia="Arial" w:hAnsi="Arial"/>
                <w:sz w:val="16"/>
                <w:szCs w:val="16"/>
                <w:color w:val="333333"/>
              </w:rPr>
              <w:t>strategies and innovation and managing</w:t>
            </w:r>
          </w:p>
        </w:tc>
      </w:tr>
      <w:tr>
        <w:trPr>
          <w:trHeight w:val="195"/>
        </w:trPr>
        <w:tc>
          <w:tcPr>
            <w:tcW w:w="4340" w:type="dxa"/>
            <w:vAlign w:val="bottom"/>
          </w:tcPr>
          <w:p>
            <w:pPr>
              <w:spacing w:after="0"/>
              <w:rPr>
                <w:sz w:val="16"/>
                <w:szCs w:val="16"/>
                <w:color w:val="auto"/>
              </w:rPr>
            </w:pPr>
          </w:p>
        </w:tc>
        <w:tc>
          <w:tcPr>
            <w:tcW w:w="3560" w:type="dxa"/>
            <w:vAlign w:val="bottom"/>
          </w:tcPr>
          <w:p>
            <w:pPr>
              <w:jc w:val="right"/>
              <w:spacing w:after="0"/>
              <w:rPr>
                <w:sz w:val="20"/>
                <w:szCs w:val="20"/>
                <w:color w:val="auto"/>
              </w:rPr>
            </w:pPr>
            <w:r>
              <w:rPr>
                <w:rFonts w:ascii="Arial" w:cs="Arial" w:eastAsia="Arial" w:hAnsi="Arial"/>
                <w:sz w:val="16"/>
                <w:szCs w:val="16"/>
                <w:color w:val="333333"/>
              </w:rPr>
              <w:t>and mitigating cybersecurity risks</w:t>
            </w:r>
          </w:p>
        </w:tc>
      </w:tr>
      <w:tr>
        <w:trPr>
          <w:trHeight w:val="804"/>
        </w:trPr>
        <w:tc>
          <w:tcPr>
            <w:tcW w:w="4340" w:type="dxa"/>
            <w:vAlign w:val="bottom"/>
          </w:tcPr>
          <w:p>
            <w:pPr>
              <w:spacing w:after="0"/>
              <w:rPr>
                <w:sz w:val="20"/>
                <w:szCs w:val="20"/>
                <w:color w:val="auto"/>
              </w:rPr>
            </w:pPr>
            <w:r>
              <w:rPr>
                <w:rFonts w:ascii="Arial" w:cs="Arial" w:eastAsia="Arial" w:hAnsi="Arial"/>
                <w:sz w:val="20"/>
                <w:szCs w:val="20"/>
                <w:b w:val="1"/>
                <w:bCs w:val="1"/>
                <w:color w:val="00006C"/>
              </w:rPr>
              <w:t>Financial/Accounting</w:t>
            </w:r>
          </w:p>
        </w:tc>
        <w:tc>
          <w:tcPr>
            <w:tcW w:w="3560" w:type="dxa"/>
            <w:vAlign w:val="bottom"/>
          </w:tcPr>
          <w:p>
            <w:pPr>
              <w:jc w:val="right"/>
              <w:spacing w:after="0"/>
              <w:rPr>
                <w:sz w:val="20"/>
                <w:szCs w:val="20"/>
                <w:color w:val="auto"/>
              </w:rPr>
            </w:pPr>
            <w:r>
              <w:rPr>
                <w:rFonts w:ascii="Arial" w:cs="Arial" w:eastAsia="Arial" w:hAnsi="Arial"/>
                <w:sz w:val="20"/>
                <w:szCs w:val="20"/>
                <w:b w:val="1"/>
                <w:bCs w:val="1"/>
                <w:color w:val="00006C"/>
              </w:rPr>
              <w:t>Banking Industry 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71525" cy="779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77978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-240665</wp:posOffset>
            </wp:positionV>
            <wp:extent cx="771525" cy="779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779780"/>
                    </a:xfrm>
                    <a:prstGeom prst="rect">
                      <a:avLst/>
                    </a:prstGeom>
                    <a:noFill/>
                  </pic:spPr>
                </pic:pic>
              </a:graphicData>
            </a:graphic>
          </wp:anchor>
        </w:drawing>
      </w:r>
    </w:p>
    <w:p>
      <w:pPr>
        <w:sectPr>
          <w:pgSz w:w="11900" w:h="16838" w:orient="portrait"/>
          <w:cols w:equalWidth="0" w:num="1">
            <w:col w:w="11240"/>
          </w:cols>
          <w:pgMar w:left="320" w:top="320" w:right="339" w:bottom="578" w:gutter="0" w:footer="0" w:header="0"/>
        </w:sectPr>
      </w:pPr>
    </w:p>
    <w:p>
      <w:pPr>
        <w:jc w:val="both"/>
        <w:ind w:left="1740" w:right="1060"/>
        <w:spacing w:after="0" w:line="249" w:lineRule="auto"/>
        <w:rPr>
          <w:sz w:val="20"/>
          <w:szCs w:val="20"/>
          <w:color w:val="auto"/>
        </w:rPr>
      </w:pPr>
      <w:r>
        <w:rPr>
          <w:rFonts w:ascii="Arial" w:cs="Arial" w:eastAsia="Arial" w:hAnsi="Arial"/>
          <w:sz w:val="16"/>
          <w:szCs w:val="16"/>
          <w:color w:val="auto"/>
        </w:rPr>
        <w:t>Meets qualified Securities and Exchange Commission (“SEC”) financial expert definition and possesses significant financial expertise with knowledge of financial reporting and experience with financial disclosure requirements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71525" cy="771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600"/>
        <w:spacing w:after="0" w:line="260" w:lineRule="auto"/>
        <w:rPr>
          <w:sz w:val="20"/>
          <w:szCs w:val="20"/>
          <w:color w:val="auto"/>
        </w:rPr>
      </w:pPr>
      <w:r>
        <w:rPr>
          <w:rFonts w:ascii="Arial" w:cs="Arial" w:eastAsia="Arial" w:hAnsi="Arial"/>
          <w:sz w:val="16"/>
          <w:szCs w:val="16"/>
          <w:color w:val="333333"/>
        </w:rPr>
        <w:t>Experience in the banking and/or financial services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697230</wp:posOffset>
            </wp:positionV>
            <wp:extent cx="771525" cy="771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946" w:lineRule="exact"/>
        <w:rPr>
          <w:sz w:val="20"/>
          <w:szCs w:val="20"/>
          <w:color w:val="auto"/>
        </w:rPr>
      </w:pPr>
    </w:p>
    <w:p>
      <w:pPr>
        <w:sectPr>
          <w:pgSz w:w="11900" w:h="16838" w:orient="portrait"/>
          <w:cols w:equalWidth="0" w:num="2">
            <w:col w:w="6540" w:space="720"/>
            <w:col w:w="3980"/>
          </w:cols>
          <w:pgMar w:left="320" w:top="320" w:right="339" w:bottom="578" w:gutter="0" w:footer="0" w:header="0"/>
          <w:type w:val="continuous"/>
        </w:sectPr>
      </w:pPr>
    </w:p>
    <w:p>
      <w:pPr>
        <w:spacing w:after="0" w:line="286" w:lineRule="exact"/>
        <w:rPr>
          <w:sz w:val="20"/>
          <w:szCs w:val="20"/>
          <w:color w:val="auto"/>
        </w:rPr>
      </w:pPr>
    </w:p>
    <w:p>
      <w:pPr>
        <w:ind w:left="1740"/>
        <w:spacing w:after="0"/>
        <w:rPr>
          <w:sz w:val="20"/>
          <w:szCs w:val="20"/>
          <w:color w:val="auto"/>
        </w:rPr>
      </w:pPr>
      <w:r>
        <w:rPr>
          <w:rFonts w:ascii="Arial" w:cs="Arial" w:eastAsia="Arial" w:hAnsi="Arial"/>
          <w:sz w:val="19"/>
          <w:szCs w:val="19"/>
          <w:b w:val="1"/>
          <w:bCs w:val="1"/>
          <w:color w:val="00006C"/>
        </w:rPr>
        <w:t>Corporate Finance/Capital Management</w:t>
      </w:r>
    </w:p>
    <w:p>
      <w:pPr>
        <w:spacing w:after="0" w:line="27" w:lineRule="exact"/>
        <w:rPr>
          <w:sz w:val="20"/>
          <w:szCs w:val="20"/>
          <w:color w:val="auto"/>
        </w:rPr>
      </w:pPr>
    </w:p>
    <w:p>
      <w:pPr>
        <w:ind w:left="1740" w:right="240"/>
        <w:spacing w:after="0" w:line="260" w:lineRule="auto"/>
        <w:rPr>
          <w:sz w:val="20"/>
          <w:szCs w:val="20"/>
          <w:color w:val="auto"/>
        </w:rPr>
      </w:pPr>
      <w:r>
        <w:rPr>
          <w:rFonts w:ascii="Arial" w:cs="Arial" w:eastAsia="Arial" w:hAnsi="Arial"/>
          <w:sz w:val="16"/>
          <w:szCs w:val="16"/>
          <w:color w:val="333333"/>
        </w:rPr>
        <w:t>Experience with corporate finance, capital allocation, and debt and capital market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71525" cy="780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780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right"/>
        <w:ind w:right="1600"/>
        <w:spacing w:after="0"/>
        <w:rPr>
          <w:sz w:val="20"/>
          <w:szCs w:val="20"/>
          <w:color w:val="auto"/>
        </w:rPr>
      </w:pPr>
      <w:r>
        <w:rPr>
          <w:rFonts w:ascii="Arial" w:cs="Arial" w:eastAsia="Arial" w:hAnsi="Arial"/>
          <w:sz w:val="20"/>
          <w:szCs w:val="20"/>
          <w:b w:val="1"/>
          <w:bCs w:val="1"/>
          <w:color w:val="00006C"/>
        </w:rPr>
        <w:t>Retail Industry and/Or</w:t>
      </w:r>
    </w:p>
    <w:p>
      <w:pPr>
        <w:spacing w:after="0" w:line="2" w:lineRule="exact"/>
        <w:rPr>
          <w:sz w:val="20"/>
          <w:szCs w:val="20"/>
          <w:color w:val="auto"/>
        </w:rPr>
      </w:pPr>
    </w:p>
    <w:p>
      <w:pPr>
        <w:jc w:val="right"/>
        <w:ind w:right="1600"/>
        <w:spacing w:after="0"/>
        <w:rPr>
          <w:sz w:val="20"/>
          <w:szCs w:val="20"/>
          <w:color w:val="auto"/>
        </w:rPr>
      </w:pPr>
      <w:r>
        <w:rPr>
          <w:rFonts w:ascii="Arial" w:cs="Arial" w:eastAsia="Arial" w:hAnsi="Arial"/>
          <w:sz w:val="20"/>
          <w:szCs w:val="20"/>
          <w:b w:val="1"/>
          <w:bCs w:val="1"/>
          <w:color w:val="00006C"/>
        </w:rPr>
        <w:t>Marketing Experience</w:t>
      </w:r>
    </w:p>
    <w:p>
      <w:pPr>
        <w:jc w:val="right"/>
        <w:ind w:right="1600"/>
        <w:spacing w:after="0" w:line="251" w:lineRule="auto"/>
        <w:rPr>
          <w:sz w:val="20"/>
          <w:szCs w:val="20"/>
          <w:color w:val="auto"/>
        </w:rPr>
      </w:pPr>
      <w:r>
        <w:rPr>
          <w:rFonts w:ascii="Arial" w:cs="Arial" w:eastAsia="Arial" w:hAnsi="Arial"/>
          <w:sz w:val="16"/>
          <w:szCs w:val="16"/>
          <w:color w:val="333333"/>
        </w:rPr>
        <w:t>Experience with retail industry, transformation to digital platforms, branding major corporations, use of digital marketing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92710</wp:posOffset>
            </wp:positionV>
            <wp:extent cx="771525" cy="771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4860"/>
          </w:cols>
          <w:pgMar w:left="320" w:top="320" w:right="339" w:bottom="578" w:gutter="0" w:footer="0" w:header="0"/>
          <w:type w:val="continuous"/>
        </w:sectPr>
      </w:pPr>
    </w:p>
    <w:p>
      <w:pPr>
        <w:spacing w:after="0" w:line="81" w:lineRule="exact"/>
        <w:rPr>
          <w:sz w:val="20"/>
          <w:szCs w:val="20"/>
          <w:color w:val="auto"/>
        </w:rPr>
      </w:pPr>
    </w:p>
    <w:p>
      <w:pPr>
        <w:ind w:left="1740"/>
        <w:spacing w:after="0"/>
        <w:tabs>
          <w:tab w:leader="none" w:pos="7200" w:val="left"/>
        </w:tabs>
        <w:rPr>
          <w:sz w:val="20"/>
          <w:szCs w:val="20"/>
          <w:color w:val="auto"/>
        </w:rPr>
      </w:pPr>
      <w:r>
        <w:rPr>
          <w:rFonts w:ascii="Arial" w:cs="Arial" w:eastAsia="Arial" w:hAnsi="Arial"/>
          <w:sz w:val="20"/>
          <w:szCs w:val="20"/>
          <w:b w:val="1"/>
          <w:bCs w:val="1"/>
          <w:color w:val="00006C"/>
        </w:rPr>
        <w:t>Risk Management</w:t>
      </w:r>
      <w:r>
        <w:rPr>
          <w:sz w:val="20"/>
          <w:szCs w:val="20"/>
          <w:color w:val="auto"/>
        </w:rPr>
        <w:tab/>
      </w:r>
      <w:r>
        <w:rPr>
          <w:rFonts w:ascii="Arial" w:cs="Arial" w:eastAsia="Arial" w:hAnsi="Arial"/>
          <w:sz w:val="19"/>
          <w:szCs w:val="19"/>
          <w:b w:val="1"/>
          <w:bCs w:val="1"/>
          <w:color w:val="00006C"/>
        </w:rPr>
        <w:t>Mergers and Acquisitions</w:t>
      </w:r>
    </w:p>
    <w:p>
      <w:pPr>
        <w:spacing w:after="0" w:line="16" w:lineRule="exact"/>
        <w:rPr>
          <w:sz w:val="20"/>
          <w:szCs w:val="20"/>
          <w:color w:val="auto"/>
        </w:rPr>
      </w:pPr>
    </w:p>
    <w:p>
      <w:pPr>
        <w:ind w:left="1740"/>
        <w:spacing w:after="0"/>
        <w:tabs>
          <w:tab w:leader="none" w:pos="6340" w:val="left"/>
        </w:tabs>
        <w:rPr>
          <w:sz w:val="20"/>
          <w:szCs w:val="20"/>
          <w:color w:val="auto"/>
        </w:rPr>
      </w:pPr>
      <w:r>
        <w:rPr>
          <w:rFonts w:ascii="Arial" w:cs="Arial" w:eastAsia="Arial" w:hAnsi="Arial"/>
          <w:sz w:val="16"/>
          <w:szCs w:val="16"/>
          <w:color w:val="333333"/>
        </w:rPr>
        <w:t>Experience overseeing complex risk</w:t>
      </w:r>
      <w:r>
        <w:rPr>
          <w:sz w:val="20"/>
          <w:szCs w:val="20"/>
          <w:color w:val="auto"/>
        </w:rPr>
        <w:tab/>
      </w:r>
      <w:r>
        <w:rPr>
          <w:rFonts w:ascii="Arial" w:cs="Arial" w:eastAsia="Arial" w:hAnsi="Arial"/>
          <w:sz w:val="16"/>
          <w:szCs w:val="16"/>
          <w:color w:val="333333"/>
        </w:rPr>
        <w:t>Leadership experience with M&amp;A transactions</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6"/>
          <w:szCs w:val="16"/>
          <w:color w:val="333333"/>
        </w:rPr>
        <w:t>management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71525" cy="780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7804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396240</wp:posOffset>
            </wp:positionV>
            <wp:extent cx="771525" cy="780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740" w:type="dxa"/>
        <w:tblCellMar>
          <w:top w:w="0" w:type="dxa"/>
          <w:left w:w="0" w:type="dxa"/>
          <w:bottom w:w="0" w:type="dxa"/>
          <w:right w:w="0" w:type="dxa"/>
        </w:tblCellMar>
      </w:tblPr>
      <w:tr>
        <w:trPr>
          <w:trHeight w:val="245"/>
        </w:trPr>
        <w:tc>
          <w:tcPr>
            <w:tcW w:w="3980" w:type="dxa"/>
            <w:vAlign w:val="bottom"/>
          </w:tcPr>
          <w:p>
            <w:pPr>
              <w:spacing w:after="0"/>
              <w:rPr>
                <w:sz w:val="20"/>
                <w:szCs w:val="20"/>
                <w:color w:val="auto"/>
              </w:rPr>
            </w:pPr>
            <w:r>
              <w:rPr>
                <w:rFonts w:ascii="Arial" w:cs="Arial" w:eastAsia="Arial" w:hAnsi="Arial"/>
                <w:sz w:val="20"/>
                <w:szCs w:val="20"/>
                <w:b w:val="1"/>
                <w:bCs w:val="1"/>
                <w:color w:val="00006C"/>
              </w:rPr>
              <w:t>Regulatory/Political</w:t>
            </w:r>
          </w:p>
        </w:tc>
        <w:tc>
          <w:tcPr>
            <w:tcW w:w="3920" w:type="dxa"/>
            <w:vAlign w:val="bottom"/>
          </w:tcPr>
          <w:p>
            <w:pPr>
              <w:jc w:val="right"/>
              <w:spacing w:after="0"/>
              <w:rPr>
                <w:sz w:val="20"/>
                <w:szCs w:val="20"/>
                <w:color w:val="auto"/>
              </w:rPr>
            </w:pPr>
            <w:r>
              <w:rPr>
                <w:rFonts w:ascii="Arial" w:cs="Arial" w:eastAsia="Arial" w:hAnsi="Arial"/>
                <w:sz w:val="20"/>
                <w:szCs w:val="20"/>
                <w:b w:val="1"/>
                <w:bCs w:val="1"/>
                <w:color w:val="00006C"/>
              </w:rPr>
              <w:t>Corporate Social Responsibility</w:t>
            </w: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333333"/>
              </w:rPr>
              <w:t>Experience with governmental relations,</w:t>
            </w:r>
          </w:p>
        </w:tc>
        <w:tc>
          <w:tcPr>
            <w:tcW w:w="3920" w:type="dxa"/>
            <w:vAlign w:val="bottom"/>
          </w:tcPr>
          <w:p>
            <w:pPr>
              <w:jc w:val="right"/>
              <w:spacing w:after="0"/>
              <w:rPr>
                <w:sz w:val="20"/>
                <w:szCs w:val="20"/>
                <w:color w:val="auto"/>
              </w:rPr>
            </w:pPr>
            <w:r>
              <w:rPr>
                <w:rFonts w:ascii="Arial" w:cs="Arial" w:eastAsia="Arial" w:hAnsi="Arial"/>
                <w:sz w:val="16"/>
                <w:szCs w:val="16"/>
                <w:color w:val="333333"/>
              </w:rPr>
              <w:t>Demonstrates understanding of issues related</w:t>
            </w: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333333"/>
              </w:rPr>
              <w:t>regulatory environment, and/or working with</w:t>
            </w:r>
          </w:p>
        </w:tc>
        <w:tc>
          <w:tcPr>
            <w:tcW w:w="3920" w:type="dxa"/>
            <w:vAlign w:val="bottom"/>
          </w:tcPr>
          <w:p>
            <w:pPr>
              <w:jc w:val="right"/>
              <w:spacing w:after="0"/>
              <w:rPr>
                <w:sz w:val="20"/>
                <w:szCs w:val="20"/>
                <w:color w:val="auto"/>
              </w:rPr>
            </w:pPr>
            <w:r>
              <w:rPr>
                <w:rFonts w:ascii="Arial" w:cs="Arial" w:eastAsia="Arial" w:hAnsi="Arial"/>
                <w:sz w:val="16"/>
                <w:szCs w:val="16"/>
                <w:color w:val="333333"/>
              </w:rPr>
              <w:t>to corporate social responsibility, sustainability,</w:t>
            </w: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333333"/>
              </w:rPr>
              <w:t>regulators; experience as a politician or lobbyist</w:t>
            </w:r>
          </w:p>
        </w:tc>
        <w:tc>
          <w:tcPr>
            <w:tcW w:w="3920" w:type="dxa"/>
            <w:vAlign w:val="bottom"/>
          </w:tcPr>
          <w:p>
            <w:pPr>
              <w:jc w:val="right"/>
              <w:spacing w:after="0"/>
              <w:rPr>
                <w:sz w:val="20"/>
                <w:szCs w:val="20"/>
                <w:color w:val="auto"/>
              </w:rPr>
            </w:pPr>
            <w:r>
              <w:rPr>
                <w:rFonts w:ascii="Arial" w:cs="Arial" w:eastAsia="Arial" w:hAnsi="Arial"/>
                <w:sz w:val="16"/>
                <w:szCs w:val="16"/>
                <w:color w:val="333333"/>
              </w:rPr>
              <w:t>and environmental stewardship; informed on</w:t>
            </w:r>
          </w:p>
        </w:tc>
      </w:tr>
      <w:tr>
        <w:trPr>
          <w:trHeight w:val="189"/>
        </w:trPr>
        <w:tc>
          <w:tcPr>
            <w:tcW w:w="3980" w:type="dxa"/>
            <w:vAlign w:val="bottom"/>
          </w:tcPr>
          <w:p>
            <w:pPr>
              <w:spacing w:after="0"/>
              <w:rPr>
                <w:sz w:val="16"/>
                <w:szCs w:val="16"/>
                <w:color w:val="auto"/>
              </w:rPr>
            </w:pPr>
          </w:p>
        </w:tc>
        <w:tc>
          <w:tcPr>
            <w:tcW w:w="3920" w:type="dxa"/>
            <w:vAlign w:val="bottom"/>
          </w:tcPr>
          <w:p>
            <w:pPr>
              <w:jc w:val="right"/>
              <w:spacing w:after="0"/>
              <w:rPr>
                <w:sz w:val="20"/>
                <w:szCs w:val="20"/>
                <w:color w:val="auto"/>
              </w:rPr>
            </w:pPr>
            <w:r>
              <w:rPr>
                <w:rFonts w:ascii="Arial" w:cs="Arial" w:eastAsia="Arial" w:hAnsi="Arial"/>
                <w:sz w:val="16"/>
                <w:szCs w:val="16"/>
                <w:color w:val="333333"/>
              </w:rPr>
              <w:t>emerging issues potentially affecting the</w:t>
            </w:r>
          </w:p>
        </w:tc>
      </w:tr>
      <w:tr>
        <w:trPr>
          <w:trHeight w:val="195"/>
        </w:trPr>
        <w:tc>
          <w:tcPr>
            <w:tcW w:w="3980" w:type="dxa"/>
            <w:vAlign w:val="bottom"/>
          </w:tcPr>
          <w:p>
            <w:pPr>
              <w:spacing w:after="0"/>
              <w:rPr>
                <w:sz w:val="16"/>
                <w:szCs w:val="16"/>
                <w:color w:val="auto"/>
              </w:rPr>
            </w:pPr>
          </w:p>
        </w:tc>
        <w:tc>
          <w:tcPr>
            <w:tcW w:w="3920" w:type="dxa"/>
            <w:vAlign w:val="bottom"/>
          </w:tcPr>
          <w:p>
            <w:pPr>
              <w:jc w:val="right"/>
              <w:spacing w:after="0"/>
              <w:rPr>
                <w:sz w:val="20"/>
                <w:szCs w:val="20"/>
                <w:color w:val="auto"/>
              </w:rPr>
            </w:pPr>
            <w:r>
              <w:rPr>
                <w:rFonts w:ascii="Arial" w:cs="Arial" w:eastAsia="Arial" w:hAnsi="Arial"/>
                <w:sz w:val="16"/>
                <w:szCs w:val="16"/>
                <w:color w:val="333333"/>
              </w:rPr>
              <w:t>reputation of the business</w:t>
            </w:r>
          </w:p>
        </w:tc>
      </w:tr>
      <w:tr>
        <w:trPr>
          <w:trHeight w:val="534"/>
        </w:trPr>
        <w:tc>
          <w:tcPr>
            <w:tcW w:w="3980" w:type="dxa"/>
            <w:vAlign w:val="bottom"/>
          </w:tcPr>
          <w:p>
            <w:pPr>
              <w:spacing w:after="0"/>
              <w:rPr>
                <w:sz w:val="20"/>
                <w:szCs w:val="20"/>
                <w:color w:val="auto"/>
              </w:rPr>
            </w:pPr>
            <w:r>
              <w:rPr>
                <w:rFonts w:ascii="Arial" w:cs="Arial" w:eastAsia="Arial" w:hAnsi="Arial"/>
                <w:sz w:val="20"/>
                <w:szCs w:val="20"/>
                <w:b w:val="1"/>
                <w:bCs w:val="1"/>
                <w:color w:val="00006C"/>
              </w:rPr>
              <w:t>Corporate Governance</w:t>
            </w:r>
          </w:p>
        </w:tc>
        <w:tc>
          <w:tcPr>
            <w:tcW w:w="3920" w:type="dxa"/>
            <w:vAlign w:val="bottom"/>
          </w:tcPr>
          <w:p>
            <w:pPr>
              <w:spacing w:after="0"/>
              <w:rPr>
                <w:sz w:val="24"/>
                <w:szCs w:val="24"/>
                <w:color w:val="auto"/>
              </w:rPr>
            </w:pP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333333"/>
              </w:rPr>
              <w:t>Demonstrates understanding of current</w:t>
            </w:r>
          </w:p>
        </w:tc>
        <w:tc>
          <w:tcPr>
            <w:tcW w:w="3920" w:type="dxa"/>
            <w:vAlign w:val="bottom"/>
          </w:tcPr>
          <w:p>
            <w:pPr>
              <w:spacing w:after="0"/>
              <w:rPr>
                <w:sz w:val="16"/>
                <w:szCs w:val="16"/>
                <w:color w:val="auto"/>
              </w:rPr>
            </w:pP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333333"/>
              </w:rPr>
              <w:t>corporate governance standards and best</w:t>
            </w:r>
          </w:p>
        </w:tc>
        <w:tc>
          <w:tcPr>
            <w:tcW w:w="3920" w:type="dxa"/>
            <w:vAlign w:val="bottom"/>
          </w:tcPr>
          <w:p>
            <w:pPr>
              <w:spacing w:after="0"/>
              <w:rPr>
                <w:sz w:val="16"/>
                <w:szCs w:val="16"/>
                <w:color w:val="auto"/>
              </w:rPr>
            </w:pPr>
          </w:p>
        </w:tc>
      </w:tr>
      <w:tr>
        <w:trPr>
          <w:trHeight w:val="195"/>
        </w:trPr>
        <w:tc>
          <w:tcPr>
            <w:tcW w:w="3980" w:type="dxa"/>
            <w:vAlign w:val="bottom"/>
          </w:tcPr>
          <w:p>
            <w:pPr>
              <w:spacing w:after="0"/>
              <w:rPr>
                <w:sz w:val="20"/>
                <w:szCs w:val="20"/>
                <w:color w:val="auto"/>
              </w:rPr>
            </w:pPr>
            <w:r>
              <w:rPr>
                <w:rFonts w:ascii="Arial" w:cs="Arial" w:eastAsia="Arial" w:hAnsi="Arial"/>
                <w:sz w:val="16"/>
                <w:szCs w:val="16"/>
                <w:color w:val="333333"/>
              </w:rPr>
              <w:t>practices in public companies</w:t>
            </w:r>
          </w:p>
        </w:tc>
        <w:tc>
          <w:tcPr>
            <w:tcW w:w="3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71525" cy="7797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578"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1C85D7"/>
        </w:rPr>
        <w:t>Board Qualifications and Experience Matrix</w:t>
      </w:r>
    </w:p>
    <w:p>
      <w:pPr>
        <w:spacing w:after="0" w:line="22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333333"/>
        </w:rPr>
        <w:t>The following chart reflects areas of qualifications and experience that our Board views as important when evaluating director nominees, as well as Board tenure and diversity information. Additional information on the business experience and other qualifications of each of our director nominees is included under Director Nominees for Election. Each director also contributes other important experience, skills, viewpoints, and personal attributes to our Board that are not reflected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554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555498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p>
      <w:pPr>
        <w:spacing w:after="0" w:line="28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Knowledge, Skills and Experience</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Executive Management</w:t>
      </w:r>
    </w:p>
    <w:p>
      <w:pPr>
        <w:spacing w:after="0" w:line="19" w:lineRule="exact"/>
        <w:rPr>
          <w:sz w:val="20"/>
          <w:szCs w:val="20"/>
          <w:color w:val="auto"/>
        </w:rPr>
      </w:pPr>
    </w:p>
    <w:p>
      <w:pPr>
        <w:ind w:left="100" w:right="140"/>
        <w:spacing w:after="0" w:line="249" w:lineRule="auto"/>
        <w:rPr>
          <w:sz w:val="20"/>
          <w:szCs w:val="20"/>
          <w:color w:val="auto"/>
        </w:rPr>
      </w:pPr>
      <w:r>
        <w:rPr>
          <w:rFonts w:ascii="Arial" w:cs="Arial" w:eastAsia="Arial" w:hAnsi="Arial"/>
          <w:sz w:val="14"/>
          <w:szCs w:val="14"/>
          <w:color w:val="auto"/>
        </w:rPr>
        <w:t>”C-Suite” experience; leadership experience as a division president or functional leader within a complex organization</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Strategic Planning/Oversight</w:t>
      </w:r>
    </w:p>
    <w:p>
      <w:pPr>
        <w:spacing w:after="0" w:line="19" w:lineRule="exact"/>
        <w:rPr>
          <w:sz w:val="20"/>
          <w:szCs w:val="20"/>
          <w:color w:val="auto"/>
        </w:rPr>
      </w:pPr>
    </w:p>
    <w:p>
      <w:pPr>
        <w:ind w:left="100" w:right="120"/>
        <w:spacing w:after="0" w:line="258" w:lineRule="auto"/>
        <w:rPr>
          <w:sz w:val="20"/>
          <w:szCs w:val="20"/>
          <w:color w:val="auto"/>
        </w:rPr>
      </w:pPr>
      <w:r>
        <w:rPr>
          <w:rFonts w:ascii="Arial" w:cs="Arial" w:eastAsia="Arial" w:hAnsi="Arial"/>
          <w:sz w:val="14"/>
          <w:szCs w:val="14"/>
          <w:color w:val="auto"/>
        </w:rPr>
        <w:t>Experience developing and implementing operating plans and business strategy</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Financial/Accounting</w:t>
      </w:r>
    </w:p>
    <w:p>
      <w:pPr>
        <w:spacing w:after="0" w:line="19" w:lineRule="exact"/>
        <w:rPr>
          <w:sz w:val="20"/>
          <w:szCs w:val="20"/>
          <w:color w:val="auto"/>
        </w:rPr>
      </w:pPr>
    </w:p>
    <w:p>
      <w:pPr>
        <w:ind w:left="100" w:right="40"/>
        <w:spacing w:after="0" w:line="247" w:lineRule="auto"/>
        <w:rPr>
          <w:sz w:val="20"/>
          <w:szCs w:val="20"/>
          <w:color w:val="auto"/>
        </w:rPr>
      </w:pPr>
      <w:r>
        <w:rPr>
          <w:rFonts w:ascii="Arial" w:cs="Arial" w:eastAsia="Arial" w:hAnsi="Arial"/>
          <w:sz w:val="14"/>
          <w:szCs w:val="14"/>
          <w:color w:val="auto"/>
        </w:rPr>
        <w:t>Meets qualified SEC financial expert definition and possesses significant financial expertise with knowledge of financial reporting and experience with financial disclosure requirements and internal controls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Corporate Finance/Capital Management</w:t>
      </w:r>
    </w:p>
    <w:p>
      <w:pPr>
        <w:spacing w:after="0" w:line="19" w:lineRule="exact"/>
        <w:rPr>
          <w:sz w:val="20"/>
          <w:szCs w:val="20"/>
          <w:color w:val="auto"/>
        </w:rPr>
      </w:pPr>
    </w:p>
    <w:p>
      <w:pPr>
        <w:ind w:left="100" w:right="140"/>
        <w:spacing w:after="0" w:line="258" w:lineRule="auto"/>
        <w:rPr>
          <w:sz w:val="20"/>
          <w:szCs w:val="20"/>
          <w:color w:val="auto"/>
        </w:rPr>
      </w:pPr>
      <w:r>
        <w:rPr>
          <w:rFonts w:ascii="Arial" w:cs="Arial" w:eastAsia="Arial" w:hAnsi="Arial"/>
          <w:sz w:val="14"/>
          <w:szCs w:val="14"/>
          <w:color w:val="auto"/>
        </w:rPr>
        <w:t>Experience with corporate finance, capital allocation, and debt and capital market transactions</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Risk Management</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Experience overseeing complex risk management matters</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Regulatory/Political</w:t>
      </w:r>
    </w:p>
    <w:p>
      <w:pPr>
        <w:spacing w:after="0" w:line="19" w:lineRule="exact"/>
        <w:rPr>
          <w:sz w:val="20"/>
          <w:szCs w:val="20"/>
          <w:color w:val="auto"/>
        </w:rPr>
      </w:pPr>
    </w:p>
    <w:p>
      <w:pPr>
        <w:ind w:left="100"/>
        <w:spacing w:after="0" w:line="249" w:lineRule="auto"/>
        <w:rPr>
          <w:sz w:val="20"/>
          <w:szCs w:val="20"/>
          <w:color w:val="auto"/>
        </w:rPr>
      </w:pPr>
      <w:r>
        <w:rPr>
          <w:rFonts w:ascii="Arial" w:cs="Arial" w:eastAsia="Arial" w:hAnsi="Arial"/>
          <w:sz w:val="14"/>
          <w:szCs w:val="14"/>
          <w:color w:val="auto"/>
        </w:rPr>
        <w:t>Experience with governmental relations, regulatory environment, and/or working with regulators; experience as a politician or lobbyist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Corporate Governance</w:t>
      </w:r>
    </w:p>
    <w:p>
      <w:pPr>
        <w:spacing w:after="0" w:line="19" w:lineRule="exact"/>
        <w:rPr>
          <w:sz w:val="20"/>
          <w:szCs w:val="20"/>
          <w:color w:val="auto"/>
        </w:rPr>
      </w:pPr>
    </w:p>
    <w:p>
      <w:pPr>
        <w:jc w:val="both"/>
        <w:ind w:left="100" w:right="580"/>
        <w:spacing w:after="0" w:line="249" w:lineRule="auto"/>
        <w:rPr>
          <w:sz w:val="20"/>
          <w:szCs w:val="20"/>
          <w:color w:val="auto"/>
        </w:rPr>
      </w:pPr>
      <w:r>
        <w:rPr>
          <w:rFonts w:ascii="Arial" w:cs="Arial" w:eastAsia="Arial" w:hAnsi="Arial"/>
          <w:sz w:val="14"/>
          <w:szCs w:val="14"/>
          <w:color w:val="auto"/>
        </w:rPr>
        <w:t>Demonstrates understanding of current corporate governance standards and best practices in public companies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Human Resources/Compensation</w:t>
      </w:r>
    </w:p>
    <w:p>
      <w:pPr>
        <w:spacing w:after="0" w:line="19" w:lineRule="exact"/>
        <w:rPr>
          <w:sz w:val="20"/>
          <w:szCs w:val="20"/>
          <w:color w:val="auto"/>
        </w:rPr>
      </w:pPr>
    </w:p>
    <w:p>
      <w:pPr>
        <w:ind w:left="100" w:right="60"/>
        <w:spacing w:after="0" w:line="249" w:lineRule="auto"/>
        <w:rPr>
          <w:sz w:val="20"/>
          <w:szCs w:val="20"/>
          <w:color w:val="auto"/>
        </w:rPr>
      </w:pPr>
      <w:r>
        <w:rPr>
          <w:rFonts w:ascii="Arial" w:cs="Arial" w:eastAsia="Arial" w:hAnsi="Arial"/>
          <w:sz w:val="14"/>
          <w:szCs w:val="14"/>
          <w:color w:val="auto"/>
        </w:rPr>
        <w:t>Experience managing a human resources function; experience with executive compensation and broad-based incentive planning</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Technology/Cybersecurity</w:t>
      </w:r>
    </w:p>
    <w:p>
      <w:pPr>
        <w:spacing w:after="0" w:line="19" w:lineRule="exact"/>
        <w:rPr>
          <w:sz w:val="20"/>
          <w:szCs w:val="20"/>
          <w:color w:val="auto"/>
        </w:rPr>
      </w:pPr>
    </w:p>
    <w:p>
      <w:pPr>
        <w:ind w:left="100"/>
        <w:spacing w:after="0" w:line="258" w:lineRule="auto"/>
        <w:rPr>
          <w:sz w:val="20"/>
          <w:szCs w:val="20"/>
          <w:color w:val="auto"/>
        </w:rPr>
      </w:pPr>
      <w:r>
        <w:rPr>
          <w:rFonts w:ascii="Arial" w:cs="Arial" w:eastAsia="Arial" w:hAnsi="Arial"/>
          <w:sz w:val="14"/>
          <w:szCs w:val="14"/>
          <w:color w:val="auto"/>
        </w:rPr>
        <w:t>Experience implementing technology strategies and innovation and managing and mitigating cybersecurity risks</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Banking Industry Experience</w:t>
      </w:r>
    </w:p>
    <w:p>
      <w:pPr>
        <w:spacing w:after="0" w:line="19" w:lineRule="exact"/>
        <w:rPr>
          <w:sz w:val="20"/>
          <w:szCs w:val="20"/>
          <w:color w:val="auto"/>
        </w:rPr>
      </w:pPr>
    </w:p>
    <w:p>
      <w:pPr>
        <w:ind w:left="100" w:right="540"/>
        <w:spacing w:after="0" w:line="258" w:lineRule="auto"/>
        <w:rPr>
          <w:sz w:val="20"/>
          <w:szCs w:val="20"/>
          <w:color w:val="auto"/>
        </w:rPr>
      </w:pPr>
      <w:r>
        <w:rPr>
          <w:rFonts w:ascii="Arial" w:cs="Arial" w:eastAsia="Arial" w:hAnsi="Arial"/>
          <w:sz w:val="14"/>
          <w:szCs w:val="14"/>
          <w:color w:val="auto"/>
        </w:rPr>
        <w:t>Experience in the banking and/or financial services industry</w:t>
      </w:r>
    </w:p>
    <w:p>
      <w:pPr>
        <w:spacing w:after="0" w:line="14" w:lineRule="exact"/>
        <w:rPr>
          <w:sz w:val="20"/>
          <w:szCs w:val="20"/>
          <w:color w:val="auto"/>
        </w:rPr>
      </w:pPr>
    </w:p>
    <w:p>
      <w:pPr>
        <w:ind w:left="100" w:right="300"/>
        <w:spacing w:after="0" w:line="256" w:lineRule="auto"/>
        <w:rPr>
          <w:sz w:val="20"/>
          <w:szCs w:val="20"/>
          <w:color w:val="auto"/>
        </w:rPr>
      </w:pPr>
      <w:r>
        <w:rPr>
          <w:rFonts w:ascii="Arial" w:cs="Arial" w:eastAsia="Arial" w:hAnsi="Arial"/>
          <w:sz w:val="14"/>
          <w:szCs w:val="14"/>
          <w:b w:val="1"/>
          <w:bCs w:val="1"/>
          <w:color w:val="auto"/>
        </w:rPr>
        <w:t xml:space="preserve">Retail Industry and/Or Marketing Experience </w:t>
      </w:r>
      <w:r>
        <w:rPr>
          <w:rFonts w:ascii="Arial" w:cs="Arial" w:eastAsia="Arial" w:hAnsi="Arial"/>
          <w:sz w:val="14"/>
          <w:szCs w:val="14"/>
          <w:color w:val="auto"/>
        </w:rPr>
        <w:t>Experience with retail industry, transformation to digital platforms, branding major corporations, use of digital marketing strategies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Mergers and Acquisitions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Leadership experience with M&amp;A transactions</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Corporate Social Responsibility</w:t>
      </w:r>
    </w:p>
    <w:p>
      <w:pPr>
        <w:spacing w:after="0" w:line="19" w:lineRule="exact"/>
        <w:rPr>
          <w:sz w:val="20"/>
          <w:szCs w:val="20"/>
          <w:color w:val="auto"/>
        </w:rPr>
      </w:pPr>
    </w:p>
    <w:p>
      <w:pPr>
        <w:ind w:left="100" w:right="40"/>
        <w:spacing w:after="0" w:line="247" w:lineRule="auto"/>
        <w:rPr>
          <w:sz w:val="20"/>
          <w:szCs w:val="20"/>
          <w:color w:val="auto"/>
        </w:rPr>
      </w:pPr>
      <w:r>
        <w:rPr>
          <w:rFonts w:ascii="Arial" w:cs="Arial" w:eastAsia="Arial" w:hAnsi="Arial"/>
          <w:sz w:val="14"/>
          <w:szCs w:val="14"/>
          <w:color w:val="auto"/>
        </w:rPr>
        <w:t>Demonstrates understanding of issues related to corporate social responsibility, sustainability, and environmental stewardship; informed on emerging issues potentially affecting the reputation of the business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Tenure (Years)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Demographics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Race/Ethnicity</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African American</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White/Caucasian</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Gender</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Male</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Female</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tabs>
          <w:tab w:leader="none" w:pos="620" w:val="left"/>
          <w:tab w:leader="none" w:pos="1440" w:val="left"/>
          <w:tab w:leader="none" w:pos="1900" w:val="left"/>
          <w:tab w:leader="none" w:pos="2540" w:val="left"/>
          <w:tab w:leader="none" w:pos="3440" w:val="left"/>
          <w:tab w:leader="none" w:pos="4040" w:val="left"/>
          <w:tab w:leader="none" w:pos="4560" w:val="left"/>
          <w:tab w:leader="none" w:pos="5460" w:val="left"/>
          <w:tab w:leader="none" w:pos="6080" w:val="left"/>
          <w:tab w:leader="none" w:pos="6620" w:val="left"/>
        </w:tabs>
        <w:rPr>
          <w:sz w:val="20"/>
          <w:szCs w:val="20"/>
          <w:color w:val="auto"/>
        </w:rPr>
      </w:pPr>
      <w:r>
        <w:rPr>
          <w:rFonts w:ascii="Arial" w:cs="Arial" w:eastAsia="Arial" w:hAnsi="Arial"/>
          <w:sz w:val="14"/>
          <w:szCs w:val="14"/>
          <w:b w:val="1"/>
          <w:bCs w:val="1"/>
          <w:color w:val="FFFFFF"/>
        </w:rPr>
        <w:t>Blalock</w:t>
        <w:tab/>
        <w:t>Clements</w:t>
        <w:tab/>
        <w:t>Cox</w:t>
        <w:tab/>
        <w:t>Daniels</w:t>
        <w:tab/>
        <w:t>Drummond</w:t>
        <w:tab/>
        <w:t>Harton</w:t>
        <w:tab/>
        <w:t>Mann</w:t>
        <w:tab/>
        <w:t>Richlovsky</w:t>
        <w:tab/>
        <w:t>Shaver</w:t>
        <w:tab/>
        <w:t>Wallis</w:t>
        <w:tab/>
        <w:t>Wilkins</w:t>
      </w:r>
    </w:p>
    <w:p>
      <w:pPr>
        <w:spacing w:after="0" w:line="3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jc w:val="center"/>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340" w:type="dxa"/>
            <w:vAlign w:val="bottom"/>
          </w:tcPr>
          <w:p>
            <w:pPr>
              <w:ind w:left="240"/>
              <w:spacing w:after="0"/>
              <w:rPr>
                <w:sz w:val="20"/>
                <w:szCs w:val="20"/>
                <w:color w:val="auto"/>
              </w:rPr>
            </w:pPr>
            <w:r>
              <w:rPr>
                <w:rFonts w:ascii="Arial" w:cs="Arial" w:eastAsia="Arial" w:hAnsi="Arial"/>
                <w:sz w:val="14"/>
                <w:szCs w:val="14"/>
                <w:color w:val="333333"/>
                <w:w w:val="85"/>
              </w:rPr>
              <w:t>X</w:t>
            </w:r>
          </w:p>
        </w:tc>
      </w:tr>
      <w:tr>
        <w:trPr>
          <w:trHeight w:val="621"/>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jc w:val="center"/>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340" w:type="dxa"/>
            <w:vAlign w:val="bottom"/>
          </w:tcPr>
          <w:p>
            <w:pPr>
              <w:ind w:left="240"/>
              <w:spacing w:after="0"/>
              <w:rPr>
                <w:sz w:val="20"/>
                <w:szCs w:val="20"/>
                <w:color w:val="auto"/>
              </w:rPr>
            </w:pPr>
            <w:r>
              <w:rPr>
                <w:rFonts w:ascii="Arial" w:cs="Arial" w:eastAsia="Arial" w:hAnsi="Arial"/>
                <w:sz w:val="14"/>
                <w:szCs w:val="14"/>
                <w:color w:val="333333"/>
                <w:w w:val="85"/>
              </w:rPr>
              <w:t>X</w:t>
            </w:r>
          </w:p>
        </w:tc>
      </w:tr>
      <w:tr>
        <w:trPr>
          <w:trHeight w:val="702"/>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702"/>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spacing w:after="0"/>
              <w:rPr>
                <w:sz w:val="24"/>
                <w:szCs w:val="24"/>
                <w:color w:val="auto"/>
              </w:rPr>
            </w:pPr>
          </w:p>
        </w:tc>
        <w:tc>
          <w:tcPr>
            <w:tcW w:w="340" w:type="dxa"/>
            <w:vAlign w:val="bottom"/>
          </w:tcPr>
          <w:p>
            <w:pPr>
              <w:ind w:left="240"/>
              <w:spacing w:after="0"/>
              <w:rPr>
                <w:sz w:val="20"/>
                <w:szCs w:val="20"/>
                <w:color w:val="auto"/>
              </w:rPr>
            </w:pPr>
            <w:r>
              <w:rPr>
                <w:rFonts w:ascii="Arial" w:cs="Arial" w:eastAsia="Arial" w:hAnsi="Arial"/>
                <w:sz w:val="14"/>
                <w:szCs w:val="14"/>
                <w:color w:val="333333"/>
                <w:w w:val="85"/>
              </w:rPr>
              <w:t>X</w:t>
            </w:r>
          </w:p>
        </w:tc>
      </w:tr>
      <w:tr>
        <w:trPr>
          <w:trHeight w:val="540"/>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jc w:val="center"/>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ind w:left="240"/>
              <w:spacing w:after="0"/>
              <w:rPr>
                <w:sz w:val="20"/>
                <w:szCs w:val="20"/>
                <w:color w:val="auto"/>
              </w:rPr>
            </w:pPr>
            <w:r>
              <w:rPr>
                <w:rFonts w:ascii="Arial" w:cs="Arial" w:eastAsia="Arial" w:hAnsi="Arial"/>
                <w:sz w:val="14"/>
                <w:szCs w:val="14"/>
                <w:color w:val="333333"/>
                <w:w w:val="85"/>
              </w:rPr>
              <w:t>X</w:t>
            </w:r>
          </w:p>
        </w:tc>
      </w:tr>
      <w:tr>
        <w:trPr>
          <w:trHeight w:val="702"/>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jc w:val="center"/>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ind w:left="240"/>
              <w:spacing w:after="0"/>
              <w:rPr>
                <w:sz w:val="20"/>
                <w:szCs w:val="20"/>
                <w:color w:val="auto"/>
              </w:rPr>
            </w:pPr>
            <w:r>
              <w:rPr>
                <w:rFonts w:ascii="Arial" w:cs="Arial" w:eastAsia="Arial" w:hAnsi="Arial"/>
                <w:sz w:val="14"/>
                <w:szCs w:val="14"/>
                <w:color w:val="333333"/>
                <w:w w:val="85"/>
              </w:rPr>
              <w:t>X</w:t>
            </w:r>
          </w:p>
        </w:tc>
      </w:tr>
      <w:tr>
        <w:trPr>
          <w:trHeight w:val="702"/>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4"/>
                <w:szCs w:val="14"/>
                <w:color w:val="auto"/>
              </w:rPr>
              <w:t>X</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21"/>
        </w:trPr>
        <w:tc>
          <w:tcPr>
            <w:tcW w:w="4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333333"/>
              </w:rPr>
              <w:t>X</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40"/>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21"/>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2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40"/>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jc w:val="center"/>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21"/>
        </w:trPr>
        <w:tc>
          <w:tcPr>
            <w:tcW w:w="4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40"/>
        </w:trPr>
        <w:tc>
          <w:tcPr>
            <w:tcW w:w="440" w:type="dxa"/>
            <w:vAlign w:val="bottom"/>
          </w:tcPr>
          <w:p>
            <w:pPr>
              <w:jc w:val="center"/>
              <w:ind w:right="208"/>
              <w:spacing w:after="0"/>
              <w:rPr>
                <w:sz w:val="20"/>
                <w:szCs w:val="20"/>
                <w:color w:val="auto"/>
              </w:rPr>
            </w:pPr>
            <w:r>
              <w:rPr>
                <w:rFonts w:ascii="Arial" w:cs="Arial" w:eastAsia="Arial" w:hAnsi="Arial"/>
                <w:sz w:val="14"/>
                <w:szCs w:val="14"/>
                <w:color w:val="333333"/>
              </w:rPr>
              <w:t>20</w:t>
            </w:r>
          </w:p>
        </w:tc>
        <w:tc>
          <w:tcPr>
            <w:tcW w:w="660" w:type="dxa"/>
            <w:vAlign w:val="bottom"/>
          </w:tcPr>
          <w:p>
            <w:pPr>
              <w:jc w:val="center"/>
              <w:spacing w:after="0"/>
              <w:rPr>
                <w:sz w:val="20"/>
                <w:szCs w:val="20"/>
                <w:color w:val="auto"/>
              </w:rPr>
            </w:pPr>
            <w:r>
              <w:rPr>
                <w:rFonts w:ascii="Arial" w:cs="Arial" w:eastAsia="Arial" w:hAnsi="Arial"/>
                <w:sz w:val="14"/>
                <w:szCs w:val="14"/>
                <w:color w:val="333333"/>
                <w:w w:val="99"/>
              </w:rPr>
              <w:t>&lt;1</w:t>
            </w:r>
          </w:p>
        </w:tc>
        <w:tc>
          <w:tcPr>
            <w:tcW w:w="620" w:type="dxa"/>
            <w:vAlign w:val="bottom"/>
          </w:tcPr>
          <w:p>
            <w:pPr>
              <w:jc w:val="center"/>
              <w:spacing w:after="0"/>
              <w:rPr>
                <w:sz w:val="20"/>
                <w:szCs w:val="20"/>
                <w:color w:val="auto"/>
              </w:rPr>
            </w:pPr>
            <w:r>
              <w:rPr>
                <w:rFonts w:ascii="Arial" w:cs="Arial" w:eastAsia="Arial" w:hAnsi="Arial"/>
                <w:sz w:val="14"/>
                <w:szCs w:val="14"/>
                <w:color w:val="333333"/>
              </w:rPr>
              <w:t>12</w:t>
            </w:r>
          </w:p>
        </w:tc>
        <w:tc>
          <w:tcPr>
            <w:tcW w:w="660" w:type="dxa"/>
            <w:vAlign w:val="bottom"/>
          </w:tcPr>
          <w:p>
            <w:pPr>
              <w:ind w:left="240"/>
              <w:spacing w:after="0"/>
              <w:rPr>
                <w:sz w:val="20"/>
                <w:szCs w:val="20"/>
                <w:color w:val="auto"/>
              </w:rPr>
            </w:pPr>
            <w:r>
              <w:rPr>
                <w:rFonts w:ascii="Arial" w:cs="Arial" w:eastAsia="Arial" w:hAnsi="Arial"/>
                <w:sz w:val="14"/>
                <w:szCs w:val="14"/>
                <w:color w:val="333333"/>
              </w:rPr>
              <w:t>5</w:t>
            </w:r>
          </w:p>
        </w:tc>
        <w:tc>
          <w:tcPr>
            <w:tcW w:w="760" w:type="dxa"/>
            <w:vAlign w:val="bottom"/>
          </w:tcPr>
          <w:p>
            <w:pPr>
              <w:ind w:left="340"/>
              <w:spacing w:after="0"/>
              <w:rPr>
                <w:sz w:val="20"/>
                <w:szCs w:val="20"/>
                <w:color w:val="auto"/>
              </w:rPr>
            </w:pPr>
            <w:r>
              <w:rPr>
                <w:rFonts w:ascii="Arial" w:cs="Arial" w:eastAsia="Arial" w:hAnsi="Arial"/>
                <w:sz w:val="14"/>
                <w:szCs w:val="14"/>
                <w:color w:val="333333"/>
              </w:rPr>
              <w:t>2</w:t>
            </w:r>
          </w:p>
        </w:tc>
        <w:tc>
          <w:tcPr>
            <w:tcW w:w="640" w:type="dxa"/>
            <w:vAlign w:val="bottom"/>
          </w:tcPr>
          <w:p>
            <w:pPr>
              <w:ind w:left="320"/>
              <w:spacing w:after="0"/>
              <w:rPr>
                <w:sz w:val="20"/>
                <w:szCs w:val="20"/>
                <w:color w:val="auto"/>
              </w:rPr>
            </w:pPr>
            <w:r>
              <w:rPr>
                <w:rFonts w:ascii="Arial" w:cs="Arial" w:eastAsia="Arial" w:hAnsi="Arial"/>
                <w:sz w:val="14"/>
                <w:szCs w:val="14"/>
                <w:color w:val="333333"/>
              </w:rPr>
              <w:t>5</w:t>
            </w:r>
          </w:p>
        </w:tc>
        <w:tc>
          <w:tcPr>
            <w:tcW w:w="660" w:type="dxa"/>
            <w:vAlign w:val="bottom"/>
          </w:tcPr>
          <w:p>
            <w:pPr>
              <w:ind w:left="260"/>
              <w:spacing w:after="0"/>
              <w:rPr>
                <w:sz w:val="20"/>
                <w:szCs w:val="20"/>
                <w:color w:val="auto"/>
              </w:rPr>
            </w:pPr>
            <w:r>
              <w:rPr>
                <w:rFonts w:ascii="Arial" w:cs="Arial" w:eastAsia="Arial" w:hAnsi="Arial"/>
                <w:sz w:val="14"/>
                <w:szCs w:val="14"/>
                <w:color w:val="333333"/>
              </w:rPr>
              <w:t>2</w:t>
            </w:r>
          </w:p>
        </w:tc>
        <w:tc>
          <w:tcPr>
            <w:tcW w:w="720" w:type="dxa"/>
            <w:vAlign w:val="bottom"/>
          </w:tcPr>
          <w:p>
            <w:pPr>
              <w:ind w:left="300"/>
              <w:spacing w:after="0"/>
              <w:rPr>
                <w:sz w:val="20"/>
                <w:szCs w:val="20"/>
                <w:color w:val="auto"/>
              </w:rPr>
            </w:pPr>
            <w:r>
              <w:rPr>
                <w:rFonts w:ascii="Arial" w:cs="Arial" w:eastAsia="Arial" w:hAnsi="Arial"/>
                <w:sz w:val="14"/>
                <w:szCs w:val="14"/>
                <w:color w:val="333333"/>
              </w:rPr>
              <w:t>8</w:t>
            </w:r>
          </w:p>
        </w:tc>
        <w:tc>
          <w:tcPr>
            <w:tcW w:w="640" w:type="dxa"/>
            <w:vAlign w:val="bottom"/>
          </w:tcPr>
          <w:p>
            <w:pPr>
              <w:ind w:left="340"/>
              <w:spacing w:after="0"/>
              <w:rPr>
                <w:sz w:val="20"/>
                <w:szCs w:val="20"/>
                <w:color w:val="auto"/>
              </w:rPr>
            </w:pPr>
            <w:r>
              <w:rPr>
                <w:rFonts w:ascii="Arial" w:cs="Arial" w:eastAsia="Arial" w:hAnsi="Arial"/>
                <w:sz w:val="14"/>
                <w:szCs w:val="14"/>
                <w:color w:val="333333"/>
              </w:rPr>
              <w:t>4</w:t>
            </w:r>
          </w:p>
        </w:tc>
        <w:tc>
          <w:tcPr>
            <w:tcW w:w="620" w:type="dxa"/>
            <w:vAlign w:val="bottom"/>
          </w:tcPr>
          <w:p>
            <w:pPr>
              <w:jc w:val="center"/>
              <w:spacing w:after="0"/>
              <w:rPr>
                <w:sz w:val="20"/>
                <w:szCs w:val="20"/>
                <w:color w:val="auto"/>
              </w:rPr>
            </w:pPr>
            <w:r>
              <w:rPr>
                <w:rFonts w:ascii="Arial" w:cs="Arial" w:eastAsia="Arial" w:hAnsi="Arial"/>
                <w:sz w:val="14"/>
                <w:szCs w:val="14"/>
                <w:color w:val="333333"/>
              </w:rPr>
              <w:t>21</w:t>
            </w:r>
          </w:p>
        </w:tc>
        <w:tc>
          <w:tcPr>
            <w:tcW w:w="340" w:type="dxa"/>
            <w:vAlign w:val="bottom"/>
          </w:tcPr>
          <w:p>
            <w:pPr>
              <w:ind w:left="240"/>
              <w:spacing w:after="0"/>
              <w:rPr>
                <w:sz w:val="20"/>
                <w:szCs w:val="20"/>
                <w:color w:val="auto"/>
              </w:rPr>
            </w:pPr>
            <w:r>
              <w:rPr>
                <w:rFonts w:ascii="Arial" w:cs="Arial" w:eastAsia="Arial" w:hAnsi="Arial"/>
                <w:sz w:val="14"/>
                <w:szCs w:val="14"/>
                <w:color w:val="333333"/>
              </w:rPr>
              <w:t>4</w:t>
            </w:r>
          </w:p>
        </w:tc>
      </w:tr>
      <w:tr>
        <w:trPr>
          <w:trHeight w:val="648"/>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jc w:val="center"/>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6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340" w:type="dxa"/>
            <w:vAlign w:val="bottom"/>
          </w:tcPr>
          <w:p>
            <w:pPr>
              <w:ind w:left="240"/>
              <w:spacing w:after="0"/>
              <w:rPr>
                <w:sz w:val="20"/>
                <w:szCs w:val="20"/>
                <w:color w:val="auto"/>
              </w:rPr>
            </w:pPr>
            <w:r>
              <w:rPr>
                <w:rFonts w:ascii="Arial" w:cs="Arial" w:eastAsia="Arial" w:hAnsi="Arial"/>
                <w:sz w:val="14"/>
                <w:szCs w:val="14"/>
                <w:color w:val="333333"/>
                <w:w w:val="85"/>
              </w:rPr>
              <w:t>X</w:t>
            </w:r>
          </w:p>
        </w:tc>
      </w:tr>
      <w:tr>
        <w:trPr>
          <w:trHeight w:val="432"/>
        </w:trPr>
        <w:tc>
          <w:tcPr>
            <w:tcW w:w="440" w:type="dxa"/>
            <w:vAlign w:val="bottom"/>
          </w:tcPr>
          <w:p>
            <w:pPr>
              <w:jc w:val="center"/>
              <w:ind w:right="208"/>
              <w:spacing w:after="0"/>
              <w:rPr>
                <w:sz w:val="20"/>
                <w:szCs w:val="20"/>
                <w:color w:val="auto"/>
              </w:rPr>
            </w:pPr>
            <w:r>
              <w:rPr>
                <w:rFonts w:ascii="Arial" w:cs="Arial" w:eastAsia="Arial" w:hAnsi="Arial"/>
                <w:sz w:val="14"/>
                <w:szCs w:val="14"/>
                <w:color w:val="333333"/>
                <w:w w:val="85"/>
              </w:rPr>
              <w:t>X</w:t>
            </w:r>
          </w:p>
        </w:tc>
        <w:tc>
          <w:tcPr>
            <w:tcW w:w="660" w:type="dxa"/>
            <w:vAlign w:val="bottom"/>
          </w:tcPr>
          <w:p>
            <w:pPr>
              <w:jc w:val="center"/>
              <w:spacing w:after="0"/>
              <w:rPr>
                <w:sz w:val="20"/>
                <w:szCs w:val="20"/>
                <w:color w:val="auto"/>
              </w:rPr>
            </w:pPr>
            <w:r>
              <w:rPr>
                <w:rFonts w:ascii="Arial" w:cs="Arial" w:eastAsia="Arial" w:hAnsi="Arial"/>
                <w:sz w:val="14"/>
                <w:szCs w:val="14"/>
                <w:color w:val="333333"/>
              </w:rPr>
              <w:t>X</w:t>
            </w:r>
          </w:p>
        </w:tc>
        <w:tc>
          <w:tcPr>
            <w:tcW w:w="62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60" w:type="dxa"/>
            <w:vAlign w:val="bottom"/>
          </w:tcPr>
          <w:p>
            <w:pPr>
              <w:ind w:left="34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14"/>
                <w:szCs w:val="14"/>
                <w:color w:val="333333"/>
              </w:rPr>
              <w:t>X</w:t>
            </w:r>
          </w:p>
        </w:tc>
        <w:tc>
          <w:tcPr>
            <w:tcW w:w="640" w:type="dxa"/>
            <w:vAlign w:val="bottom"/>
          </w:tcPr>
          <w:p>
            <w:pPr>
              <w:ind w:left="320"/>
              <w:spacing w:after="0"/>
              <w:rPr>
                <w:sz w:val="20"/>
                <w:szCs w:val="20"/>
                <w:color w:val="auto"/>
              </w:rPr>
            </w:pPr>
            <w:r>
              <w:rPr>
                <w:rFonts w:ascii="Arial" w:cs="Arial" w:eastAsia="Arial" w:hAnsi="Arial"/>
                <w:sz w:val="14"/>
                <w:szCs w:val="14"/>
                <w:color w:val="333333"/>
              </w:rPr>
              <w:t>X</w:t>
            </w: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340" w:type="dxa"/>
            <w:vAlign w:val="bottom"/>
          </w:tcPr>
          <w:p>
            <w:pPr>
              <w:ind w:left="240"/>
              <w:spacing w:after="0"/>
              <w:rPr>
                <w:sz w:val="20"/>
                <w:szCs w:val="20"/>
                <w:color w:val="auto"/>
              </w:rPr>
            </w:pPr>
            <w:r>
              <w:rPr>
                <w:rFonts w:ascii="Arial" w:cs="Arial" w:eastAsia="Arial" w:hAnsi="Arial"/>
                <w:sz w:val="14"/>
                <w:szCs w:val="14"/>
                <w:color w:val="333333"/>
                <w:w w:val="85"/>
              </w:rPr>
              <w:t>X</w:t>
            </w:r>
          </w:p>
        </w:tc>
      </w:tr>
      <w:tr>
        <w:trPr>
          <w:trHeight w:val="216"/>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333333"/>
              </w:rPr>
              <w:t>X</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4"/>
                <w:szCs w:val="14"/>
                <w:color w:val="333333"/>
              </w:rPr>
              <w:t>X</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-951865</wp:posOffset>
            </wp:positionV>
            <wp:extent cx="7132320" cy="960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160"/>
            <w:col w:w="7200"/>
          </w:cols>
          <w:pgMar w:left="320" w:top="323"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7"/>
          <w:szCs w:val="27"/>
          <w:b w:val="1"/>
          <w:bCs w:val="1"/>
          <w:color w:val="1077A9"/>
        </w:rPr>
        <w:t>Director Nominees for Election</w:t>
      </w:r>
    </w:p>
    <w:p>
      <w:pPr>
        <w:spacing w:after="0" w:line="3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Below is information about each of our Board’s nominees, including their age, the year in which they first became a director of our Company, their business experience for at least the past five years, and other information that led to the conclusion by our Board that each nominee should serve as a director of our Company. There are no family relationships between any director, executive officer, or nominee for director of United.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Robert H.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-139065</wp:posOffset>
            </wp:positionV>
            <wp:extent cx="1457325" cy="14490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57325" cy="144907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 73 | Director since: 2000 | Committees: Audit, Risk</w:t>
      </w:r>
    </w:p>
    <w:p>
      <w:pPr>
        <w:spacing w:after="0" w:line="198" w:lineRule="exact"/>
        <w:rPr>
          <w:sz w:val="20"/>
          <w:szCs w:val="20"/>
          <w:color w:val="auto"/>
        </w:rPr>
      </w:pPr>
    </w:p>
    <w:p>
      <w:pPr>
        <w:ind w:right="2960"/>
        <w:spacing w:after="0" w:line="237" w:lineRule="auto"/>
        <w:rPr>
          <w:sz w:val="20"/>
          <w:szCs w:val="20"/>
          <w:color w:val="auto"/>
        </w:rPr>
      </w:pPr>
      <w:r>
        <w:rPr>
          <w:rFonts w:ascii="Arial" w:cs="Arial" w:eastAsia="Arial" w:hAnsi="Arial"/>
          <w:sz w:val="18"/>
          <w:szCs w:val="18"/>
          <w:color w:val="auto"/>
        </w:rPr>
        <w:t>Mr. Blalock’s extensive knowledge and business experience, as well as involvement in our banking communities, provide critical insight to our Board. His experience and leadership of a small business in the Clayton, Georgia community provides a much-needed perspective into a business community that is representative of a large portion of United’s service area. As a past member of the board of directors of First Clayton Bank and Trust, Mr. Blalock brings not only a rich history of banking leadership but a perspective of the bank acquisition process.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ind w:right="60"/>
        <w:spacing w:after="0" w:line="238" w:lineRule="auto"/>
        <w:rPr>
          <w:sz w:val="20"/>
          <w:szCs w:val="20"/>
          <w:color w:val="auto"/>
        </w:rPr>
      </w:pPr>
      <w:r>
        <w:rPr>
          <w:rFonts w:ascii="Arial" w:cs="Arial" w:eastAsia="Arial" w:hAnsi="Arial"/>
          <w:sz w:val="18"/>
          <w:szCs w:val="18"/>
          <w:color w:val="auto"/>
        </w:rPr>
        <w:t>Mr. Blalock has been Chief Executive Officer of Blalock Insurance Agency, Inc. in Clayton, Georgia, since 1974. He served as an organizing director of First Clayton Bank and Trust when the bank was formed in 1988. He was a member of the board of directors and served on the Compensation and Audit Committees for First Clayton Bank and Trust, which was acquired by United in 1997, and was past Chairman of the board of directors. Mr. Blalock remains on the community bank board of United Community Bank — Clayton (the former First Clayton Bank and Trust).</w:t>
      </w:r>
    </w:p>
    <w:p>
      <w:pPr>
        <w:spacing w:after="0" w:line="18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Mr. Blalock served as an Infantry Officer in the United States Army. He served a tour of duty in Vietnam with the 101 Airborne Division. He was a member of the Rotary Club of Clayton board of directors from 1974 to 1991 and served as the club’s Vice President.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spacing w:after="0"/>
        <w:rPr>
          <w:sz w:val="20"/>
          <w:szCs w:val="20"/>
          <w:color w:val="auto"/>
        </w:rPr>
      </w:pPr>
      <w:r>
        <w:rPr>
          <w:rFonts w:ascii="Arial" w:cs="Arial" w:eastAsia="Arial" w:hAnsi="Arial"/>
          <w:sz w:val="18"/>
          <w:szCs w:val="18"/>
          <w:color w:val="auto"/>
        </w:rPr>
        <w:t>Mr. Blalock is a graduate of University of Georgia.</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James P.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-139065</wp:posOffset>
            </wp:positionV>
            <wp:extent cx="1457325" cy="1440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57325" cy="14401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 57 | Director since: 2020</w:t>
      </w:r>
    </w:p>
    <w:p>
      <w:pPr>
        <w:spacing w:after="0" w:line="198" w:lineRule="exact"/>
        <w:rPr>
          <w:sz w:val="20"/>
          <w:szCs w:val="20"/>
          <w:color w:val="auto"/>
        </w:rPr>
      </w:pPr>
    </w:p>
    <w:p>
      <w:pPr>
        <w:ind w:right="3140"/>
        <w:spacing w:after="0" w:line="255" w:lineRule="auto"/>
        <w:rPr>
          <w:sz w:val="20"/>
          <w:szCs w:val="20"/>
          <w:color w:val="auto"/>
        </w:rPr>
      </w:pPr>
      <w:r>
        <w:rPr>
          <w:rFonts w:ascii="Arial" w:cs="Arial" w:eastAsia="Arial" w:hAnsi="Arial"/>
          <w:sz w:val="17"/>
          <w:szCs w:val="17"/>
          <w:color w:val="auto"/>
        </w:rPr>
        <w:t>Dr. Clements’ experience as President of two universities makes him uniquely skilled with deep knowledge regarding operation of a complex organization and consideration of different stakeholder groups. In addition to his leadership in higher education, Dr. Clements has extensive knowledge in the field of information technology. Dr. Clements brings extensive knowledge in the areas of leadership, strategic planning, project management, computer science, and information technology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ind w:right="60"/>
        <w:spacing w:after="0" w:line="238" w:lineRule="auto"/>
        <w:rPr>
          <w:sz w:val="20"/>
          <w:szCs w:val="20"/>
          <w:color w:val="auto"/>
        </w:rPr>
      </w:pPr>
      <w:r>
        <w:rPr>
          <w:rFonts w:ascii="Arial" w:cs="Arial" w:eastAsia="Arial" w:hAnsi="Arial"/>
          <w:sz w:val="18"/>
          <w:szCs w:val="18"/>
          <w:color w:val="auto"/>
        </w:rPr>
        <w:t>Dr. Clements became Clemson University’s 15th president on December 31, 2013. Before he came to Clemson, Dr. Clements served as the president of West Virginia University for nearly five years. Prior to his service at West Virginia University, Dr. Clements served as provost and vice president for academic affairs, vice president for Economic Development &amp; Community Outreach and the Robert W. Deutsch Distinguished Professor of Information Technology at Towson University, the second largest university in the University System of Maryland.</w:t>
      </w:r>
    </w:p>
    <w:p>
      <w:pPr>
        <w:spacing w:after="0" w:line="191" w:lineRule="exact"/>
        <w:rPr>
          <w:sz w:val="20"/>
          <w:szCs w:val="20"/>
          <w:color w:val="auto"/>
        </w:rPr>
      </w:pPr>
    </w:p>
    <w:p>
      <w:pPr>
        <w:jc w:val="both"/>
        <w:ind w:right="480"/>
        <w:spacing w:after="0"/>
        <w:rPr>
          <w:sz w:val="20"/>
          <w:szCs w:val="20"/>
          <w:color w:val="auto"/>
        </w:rPr>
      </w:pPr>
      <w:r>
        <w:rPr>
          <w:rFonts w:ascii="Arial" w:cs="Arial" w:eastAsia="Arial" w:hAnsi="Arial"/>
          <w:sz w:val="18"/>
          <w:szCs w:val="18"/>
          <w:color w:val="auto"/>
        </w:rPr>
        <w:t>Dr. Clements is a nationally recognized leader in higher education. He is a member of the Board of the American Council on Education, where he also served as chair of the ACE Commission on Leadership. In addition, he served on the executive committee of the APLU’s Commission on Innovation, Competitiveness and Economic Prosperity.</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Dr. Clements was the only university president selected for the 15-member Innovation Advisory Board to the U.S. Department of Commerce. He also served as the co-chair of the National Advisory Committee for Innovation and Entrepreneurship 2.0, again serving as the only university president. He was nominated for, and participated in, the 81st Joint Civilian Orientation Conference through the U.S. Department of Defense where he was one of only a few dozen people selected in the country. Dr. Clements serves on the Executive Committee for the Council on Competitiveness and on the Executive Committee of the Board for the Business Higher Education Forum.</w:t>
      </w:r>
    </w:p>
    <w:p>
      <w:pPr>
        <w:spacing w:after="0" w:line="189"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Dr. Clements has published and presented more than 75 papers in the fields of higher education, leadership, strategic planning, project management, computer science and information technology. He also served as principal investigator or co-investigator on more than $15 million in research grants.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jc w:val="both"/>
        <w:ind w:right="180"/>
        <w:spacing w:after="0" w:line="261" w:lineRule="auto"/>
        <w:rPr>
          <w:sz w:val="20"/>
          <w:szCs w:val="20"/>
          <w:color w:val="auto"/>
        </w:rPr>
      </w:pPr>
      <w:r>
        <w:rPr>
          <w:rFonts w:ascii="Arial" w:cs="Arial" w:eastAsia="Arial" w:hAnsi="Arial"/>
          <w:sz w:val="17"/>
          <w:szCs w:val="17"/>
          <w:color w:val="auto"/>
        </w:rPr>
        <w:t>Dr. Clements holds a Bachelor of Science degree in computer science as well as a master’s degree and Ph.D. in operations analysis from the University of Maryland-Baltimore County. Dr. Clements also holds an M.S. degree in computer science from Johns Hopkins University’s Whiting School of Engineering and was awarded an honorary degree as doctor of public education from his alma mater, UMBC.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i w:val="1"/>
          <w:iCs w:val="1"/>
          <w:color w:val="1077A9"/>
        </w:rPr>
        <w:t>L.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-139065</wp:posOffset>
            </wp:positionV>
            <wp:extent cx="1457325" cy="14490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57325" cy="144907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 62 | Director since: 2008 | Committees: Executive, Nominating and Corporate Governance, Risk</w:t>
      </w:r>
    </w:p>
    <w:p>
      <w:pPr>
        <w:spacing w:after="0" w:line="198" w:lineRule="exact"/>
        <w:rPr>
          <w:sz w:val="20"/>
          <w:szCs w:val="20"/>
          <w:color w:val="auto"/>
        </w:rPr>
      </w:pPr>
    </w:p>
    <w:p>
      <w:pPr>
        <w:ind w:right="2820"/>
        <w:spacing w:after="0" w:line="237" w:lineRule="auto"/>
        <w:rPr>
          <w:sz w:val="20"/>
          <w:szCs w:val="20"/>
          <w:color w:val="auto"/>
        </w:rPr>
      </w:pPr>
      <w:r>
        <w:rPr>
          <w:rFonts w:ascii="Arial" w:cs="Arial" w:eastAsia="Arial" w:hAnsi="Arial"/>
          <w:sz w:val="18"/>
          <w:szCs w:val="18"/>
          <w:color w:val="auto"/>
        </w:rPr>
        <w:t>Ms. Cox provides a unique combination of legal, governmental and educational experience to the Board of Directors. In her legal career, Ms. Cox served as legal counsel for community banks, hospitals and other businesses in Georgia. This, combined with her extensive government service, brings a depth of legal and governmental expertise to the Board. Her leadership in higher education demonstrates Ms. Cox’s vision and strong management skills and offers the perspective of key educational institutions to the Board.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ind w:right="120"/>
        <w:spacing w:after="0" w:line="237" w:lineRule="auto"/>
        <w:rPr>
          <w:sz w:val="20"/>
          <w:szCs w:val="20"/>
          <w:color w:val="auto"/>
        </w:rPr>
      </w:pPr>
      <w:r>
        <w:rPr>
          <w:rFonts w:ascii="Arial" w:cs="Arial" w:eastAsia="Arial" w:hAnsi="Arial"/>
          <w:sz w:val="18"/>
          <w:szCs w:val="18"/>
          <w:color w:val="auto"/>
        </w:rPr>
        <w:t>Ms. Cox was appointed dean of Mercer University’s School of Law, Georgia’s oldest ABA-accredited law school, in 2017. Ms. Cox brings to the Mercer Law deanship a breadth and depth of experience in higher education, public service and the practice of law. Prior to this appointment, Ms. Cox served for ten years as President of Young Harris College, a private, liberal arts college in North Georgia. During her tenure at the college, she moved the college from two-year to four-year status, doubled student enrollment and the size of the faculty of the institution and added more than $100 million in new facilities to the campus. Prior to joining the college, Ms. Cox was twice elected to serve as the Georgia Secretary of State. In this role she served as Commissioner of Securities, overseeing the regulation of the securities industry within the state.</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in the private practice of law, first as an associate with Hansell &amp; Post in Atlanta, Georgia, and then as a partner with Lambert, Floyd &amp; Conger in Bainbridge, Georgia. She started her professional career as a newspaper reporter.</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ind w:right="280"/>
        <w:spacing w:after="0" w:line="246" w:lineRule="auto"/>
        <w:rPr>
          <w:sz w:val="20"/>
          <w:szCs w:val="20"/>
          <w:color w:val="auto"/>
        </w:rPr>
      </w:pPr>
      <w:r>
        <w:rPr>
          <w:rFonts w:ascii="Arial" w:cs="Arial" w:eastAsia="Arial" w:hAnsi="Arial"/>
          <w:sz w:val="18"/>
          <w:szCs w:val="18"/>
          <w:color w:val="auto"/>
        </w:rPr>
        <w:t>Ms. Cox holds an A.S. degree from Abraham Baldwin Agricultural College, an A.B.J. Degree from University of Georgia and a J.D. degree from Mercer University School of Law. She was Editor-in-Chief of the Mercer Law Review.</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-139065</wp:posOffset>
            </wp:positionV>
            <wp:extent cx="1457325" cy="14490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7325" cy="144907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 69 | Director since: 2015 | Committees: Audit, Talent and Compensation, Executive, Risk (Chair)</w:t>
      </w:r>
    </w:p>
    <w:p>
      <w:pPr>
        <w:spacing w:after="0" w:line="198" w:lineRule="exact"/>
        <w:rPr>
          <w:sz w:val="20"/>
          <w:szCs w:val="20"/>
          <w:color w:val="auto"/>
        </w:rPr>
      </w:pPr>
    </w:p>
    <w:p>
      <w:pPr>
        <w:ind w:right="2860"/>
        <w:spacing w:after="0" w:line="238" w:lineRule="auto"/>
        <w:rPr>
          <w:sz w:val="20"/>
          <w:szCs w:val="20"/>
          <w:color w:val="auto"/>
        </w:rPr>
      </w:pPr>
      <w:r>
        <w:rPr>
          <w:rFonts w:ascii="Arial" w:cs="Arial" w:eastAsia="Arial" w:hAnsi="Arial"/>
          <w:sz w:val="18"/>
          <w:szCs w:val="18"/>
          <w:color w:val="auto"/>
        </w:rPr>
        <w:t>Mr. Daniel’s 38 years as a banking leader and risk professional with extensive experience in loan portfolio management, regulatory requirements, policy development and data integrity provides the Board of Directors with a depth of banking and risk expertise and offers the perspective of a large regional banking institution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ind w:right="80"/>
        <w:spacing w:after="0" w:line="238" w:lineRule="auto"/>
        <w:rPr>
          <w:sz w:val="20"/>
          <w:szCs w:val="20"/>
          <w:color w:val="auto"/>
        </w:rPr>
      </w:pPr>
      <w:r>
        <w:rPr>
          <w:rFonts w:ascii="Arial" w:cs="Arial" w:eastAsia="Arial" w:hAnsi="Arial"/>
          <w:sz w:val="18"/>
          <w:szCs w:val="18"/>
          <w:color w:val="auto"/>
        </w:rPr>
        <w:t>Mr. Daniels began his career at First Union National Bank (now Wells Fargo) where he served as a Senior Commercial Loan Officer and Commercial Financial Analyst. In 1983, he joined BB&amp;T and led various credit and risk management functions as the company grew from $2 billion to $187 billion in assets. In 2003, he was promoted to Chief Credit Risk and Policy Officer and later to Senior Risk Advisor, a position he held until his retirement in 2014.</w:t>
      </w:r>
    </w:p>
    <w:p>
      <w:pPr>
        <w:spacing w:after="0" w:line="19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Mr. Daniels is past President and Chair of both the Carolinas/Virginia Chapter and the Eastern North Carolina Chapter of the Risk Management Association (“RMA”). During his career, he served on the RMA’s National Agricultural Lending Council, the National Credit Risk Council, the Allowance for Loan and Lease Losses Roundtable and the Commercial Risk Grading Roundtable.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ind w:right="40"/>
        <w:spacing w:after="0" w:line="246" w:lineRule="auto"/>
        <w:rPr>
          <w:sz w:val="20"/>
          <w:szCs w:val="20"/>
          <w:color w:val="auto"/>
        </w:rPr>
      </w:pPr>
      <w:r>
        <w:rPr>
          <w:rFonts w:ascii="Arial" w:cs="Arial" w:eastAsia="Arial" w:hAnsi="Arial"/>
          <w:sz w:val="18"/>
          <w:szCs w:val="18"/>
          <w:color w:val="auto"/>
        </w:rPr>
        <w:t>Mr. Daniels graduated from the RMA/Wharton Advanced Risk Management Program at The Wharton School of Business and also earned an M.B.A. degree at East Carolina University and a bachelor’s degree at the University of North Carolina, Chapel Hill.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i w:val="1"/>
          <w:iCs w:val="1"/>
          <w:color w:val="1077A9"/>
        </w:rPr>
        <w:t>Lance F. Drummond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-139065</wp:posOffset>
            </wp:positionV>
            <wp:extent cx="1457325" cy="1440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7325" cy="1440180"/>
                    </a:xfrm>
                    <a:prstGeom prst="rect">
                      <a:avLst/>
                    </a:prstGeom>
                    <a:noFill/>
                  </pic:spPr>
                </pic:pic>
              </a:graphicData>
            </a:graphic>
          </wp:anchor>
        </w:drawing>
      </w:r>
    </w:p>
    <w:p>
      <w:pPr>
        <w:spacing w:after="0" w:line="2" w:lineRule="exact"/>
        <w:rPr>
          <w:sz w:val="20"/>
          <w:szCs w:val="20"/>
          <w:color w:val="auto"/>
        </w:rPr>
      </w:pPr>
    </w:p>
    <w:p>
      <w:pPr>
        <w:ind w:right="3380"/>
        <w:spacing w:after="0" w:line="246" w:lineRule="auto"/>
        <w:rPr>
          <w:sz w:val="20"/>
          <w:szCs w:val="20"/>
          <w:color w:val="auto"/>
        </w:rPr>
      </w:pPr>
      <w:r>
        <w:rPr>
          <w:rFonts w:ascii="Arial" w:cs="Arial" w:eastAsia="Arial" w:hAnsi="Arial"/>
          <w:sz w:val="18"/>
          <w:szCs w:val="18"/>
          <w:color w:val="auto"/>
        </w:rPr>
        <w:t>Age: 66 | Director since: 2018 | Committees: Talent and Compensation, Executive, Nominating and Corporate Governance (Chair), Risk</w:t>
      </w:r>
    </w:p>
    <w:p>
      <w:pPr>
        <w:spacing w:after="0" w:line="183" w:lineRule="exact"/>
        <w:rPr>
          <w:sz w:val="20"/>
          <w:szCs w:val="20"/>
          <w:color w:val="auto"/>
        </w:rPr>
      </w:pPr>
    </w:p>
    <w:p>
      <w:pPr>
        <w:ind w:right="2920"/>
        <w:spacing w:after="0" w:line="238" w:lineRule="auto"/>
        <w:rPr>
          <w:sz w:val="20"/>
          <w:szCs w:val="20"/>
          <w:color w:val="auto"/>
        </w:rPr>
      </w:pPr>
      <w:r>
        <w:rPr>
          <w:rFonts w:ascii="Arial" w:cs="Arial" w:eastAsia="Arial" w:hAnsi="Arial"/>
          <w:sz w:val="18"/>
          <w:szCs w:val="18"/>
          <w:color w:val="auto"/>
        </w:rPr>
        <w:t>Mr. Drummond brings to the Board of Directors 40 years of business experience as an executive level business leader with multi-industry and international experience. He specializes in business transforming strategy development and execution and organizational change for business-to-business and business-to-consumer Fortune 500 companies, with demonstrated success in manufacturing, technology and financial services industries.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ind w:right="40"/>
        <w:spacing w:after="0" w:line="236" w:lineRule="auto"/>
        <w:rPr>
          <w:sz w:val="20"/>
          <w:szCs w:val="20"/>
          <w:color w:val="auto"/>
        </w:rPr>
      </w:pPr>
      <w:r>
        <w:rPr>
          <w:rFonts w:ascii="Arial" w:cs="Arial" w:eastAsia="Arial" w:hAnsi="Arial"/>
          <w:sz w:val="18"/>
          <w:szCs w:val="18"/>
          <w:color w:val="auto"/>
        </w:rPr>
        <w:t>Mr. Drummond began his career in 1976 at Eastman Kodak, where he held several senior management positions including Divisional Vice President and General Manager Dental Products, Divisional Vice President and Regional General Manager Professional Products — Latin American region, Corporate Vice President and Chief Operating Officer Professional Products Division. In 2002, Mr. Drummond joined Bank of America as the Service and Fulfillment Operations executive for Global Technology and Operations. In this role, he led more than 19,000 associates who provided end-to-end operations support to 55 million consumer households, 2 million small business relationships, 200,000 commercial clients, 6,100 banking centers and 18,000 ATMs. In 2007, Mr. Drummond became Bank of America’s Global Consumer and Small Business Banking eCommerce/ATM executive. From 2009 to 2011, Mr. Drummond served as the Executive Vice President of Human Resources and Shared Services at Fiserv, Inc. In this role, he led the human resources function for Fiserv’s 20,000 employees. Additionally, he oversaw many of the company’s shared services, including Fiserv Global Services’ 2,800 employees, located in India and Costa Rica. In 2011, Mr. Drummond accepted the position of Executive Vice President of Operations and Technology at TD Canada Trust and served in this capacity until he retired in January 2015. In his role at TD Canada Trust, he led a team of associates who delivered personal and small business loan underwriting, funding, discharges, deposit operations, fraud management, collections, digitization and image transformation, service quality (Lean Six Sigma) and project management office services for Canadian Banking including retail, business and wealth.</w:t>
      </w:r>
    </w:p>
    <w:p>
      <w:pPr>
        <w:spacing w:after="0" w:line="1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Mr. Drummond is an independent director on the board of directors of the Federal Home Loan Mortgage Corporation (commonly referred to as “Freddie Mac”) where he serves on the Audit Committee and Nominations and Governance Committee and is chair of the Technology Working Group. He is a member of the Public Board of Governors of the Financial Industry Regulatory Authority (FINRA). He is also board member of CurAegis Technologies Inc., where he serves on the Audit Committee, and a board member of AvidXchange, Inc., a publicly traded company that provides accounts payable automation software.</w:t>
      </w:r>
    </w:p>
    <w:p>
      <w:pPr>
        <w:spacing w:after="0" w:line="189"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Mr. Drummond received the MIT Sloan Fellowship in 1994 and the Aspen Institute’s Henry Crown Fellowship in 1998. Mr. Drummond is the founder of Dreamseeds — a children’s performing arts program at YMCA of Greater Rochester. He was recipient of the Rochester Area Community Foundation Award in 2000 and Rochester Mayor Unsung Heroes Award in 2001. He also received the University of Rochester Simon Business School Distinguished Alumnus Award in 2005 and Charlotte American Diabetes Association Father of the Year in 2005.</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ind w:right="120"/>
        <w:spacing w:after="0" w:line="246" w:lineRule="auto"/>
        <w:rPr>
          <w:sz w:val="20"/>
          <w:szCs w:val="20"/>
          <w:color w:val="auto"/>
        </w:rPr>
      </w:pPr>
      <w:r>
        <w:rPr>
          <w:rFonts w:ascii="Arial" w:cs="Arial" w:eastAsia="Arial" w:hAnsi="Arial"/>
          <w:sz w:val="18"/>
          <w:szCs w:val="18"/>
          <w:color w:val="auto"/>
        </w:rPr>
        <w:t>Mr. Drummond earned his bachelor’s degree in Business Management from Boston University, MBA from the Simon Business School at the University of Rochester, and MS degree in Management Science from MIT.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-139065</wp:posOffset>
            </wp:positionV>
            <wp:extent cx="1457325" cy="1448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7325" cy="144843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 59 | Director since: 2015 | Committees: Executive (Chair)</w:t>
      </w:r>
    </w:p>
    <w:p>
      <w:pPr>
        <w:spacing w:after="0" w:line="198" w:lineRule="exact"/>
        <w:rPr>
          <w:sz w:val="20"/>
          <w:szCs w:val="20"/>
          <w:color w:val="auto"/>
        </w:rPr>
      </w:pPr>
    </w:p>
    <w:p>
      <w:pPr>
        <w:ind w:right="2920"/>
        <w:spacing w:after="0"/>
        <w:rPr>
          <w:sz w:val="20"/>
          <w:szCs w:val="20"/>
          <w:color w:val="auto"/>
        </w:rPr>
      </w:pPr>
      <w:r>
        <w:rPr>
          <w:rFonts w:ascii="Arial" w:cs="Arial" w:eastAsia="Arial" w:hAnsi="Arial"/>
          <w:sz w:val="18"/>
          <w:szCs w:val="18"/>
          <w:color w:val="auto"/>
        </w:rPr>
        <w:t>With more than 30 years of experience in the banking industry, Mr. Harton has extensive experience with respect to lending, risk management, credit administration and virtually all other aspects of United’s business.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ind w:right="2820"/>
        <w:spacing w:after="0" w:line="237" w:lineRule="auto"/>
        <w:rPr>
          <w:sz w:val="20"/>
          <w:szCs w:val="20"/>
          <w:color w:val="auto"/>
        </w:rPr>
      </w:pPr>
      <w:r>
        <w:rPr>
          <w:rFonts w:ascii="Arial" w:cs="Arial" w:eastAsia="Arial" w:hAnsi="Arial"/>
          <w:sz w:val="18"/>
          <w:szCs w:val="18"/>
          <w:color w:val="auto"/>
        </w:rPr>
        <w:t>Mr. Harton serves as Chairman of the Board, President and Chief Executive Officer of United and as Chairman of the Board and Chief Executive Officer of the Bank. Mr. Harton joined United in 2012 as Chief Operating Officer. In 2015, he was named President and elected to the Board of both United and the Bank. Mr. Harton was named Chief Executive Officer of the Bank in 2017 and was named Chief Executive Officer of United in 2018. Mr. Harton was named Chairman of the Board of both United and the Bank in 2019. Mr. Harton served as President of the Bank until 2021.</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Prior to joining United, Mr. Harton served as the Executive Vice President and Head of Commercial Banking-South of Toronto-Dominion Bank (“TD Bank”) from 2010 to 2012. From 2009 to 2010, Mr. Harton served as President and Chief Executive Officer of The South Financial Group (“TSFG”), and from 2007 to 2009 he served as TSFG’s Chief Risk and Chief Credit Officer. During his time at TSFG, Mr. Harton raised capital to support TSFG during the financial crisis, negotiated the sale of the company to TD Bank, and, post-sale, led the successful integration of TSFG into TD Bank. Prior to joining TSFG, Mr. Harton served from 2003 to 2007 as the Chief Credit Officer of Regions Financial Corporation and Union Planters Corporation. He also had previously held various executive positions at BB&amp;T from 1983 to 2003.</w:t>
      </w:r>
    </w:p>
    <w:p>
      <w:pPr>
        <w:spacing w:after="0" w:line="19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Mr. Harton is a past member of both the RMA National Community Bank Council and the RMA Board of Directors. He also has served on a number of additional financial boards and committees throughout his career, including the Palmetto Business Forum, RMA National Credit Risk Council, CBA National Small Business Banking Committee, and the Equifax Small Business Financial Exchange.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ind w:right="40"/>
        <w:spacing w:after="0" w:line="246" w:lineRule="auto"/>
        <w:rPr>
          <w:sz w:val="20"/>
          <w:szCs w:val="20"/>
          <w:color w:val="auto"/>
        </w:rPr>
      </w:pPr>
      <w:r>
        <w:rPr>
          <w:rFonts w:ascii="Arial" w:cs="Arial" w:eastAsia="Arial" w:hAnsi="Arial"/>
          <w:sz w:val="18"/>
          <w:szCs w:val="18"/>
          <w:color w:val="auto"/>
        </w:rPr>
        <w:t>Mr. Harton earned his bachelor’s degree from Wake Forest University and has participated in various executive programs at Duke University, Wharton, Columbia, Northwestern, University of North Carolina and University of South Carolina.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524"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i w:val="1"/>
          <w:iCs w:val="1"/>
          <w:color w:val="1278AB"/>
        </w:rPr>
        <w:t>Jennifer K.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-139065</wp:posOffset>
            </wp:positionV>
            <wp:extent cx="1457325" cy="14490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57325" cy="144907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 50 | Director since: 2018 | Committees: Talent and Compensation (Chair)</w:t>
      </w:r>
    </w:p>
    <w:p>
      <w:pPr>
        <w:spacing w:after="0" w:line="198" w:lineRule="exact"/>
        <w:rPr>
          <w:sz w:val="20"/>
          <w:szCs w:val="20"/>
          <w:color w:val="auto"/>
        </w:rPr>
      </w:pPr>
    </w:p>
    <w:p>
      <w:pPr>
        <w:ind w:right="2960"/>
        <w:spacing w:after="0"/>
        <w:rPr>
          <w:sz w:val="20"/>
          <w:szCs w:val="20"/>
          <w:color w:val="auto"/>
        </w:rPr>
      </w:pPr>
      <w:r>
        <w:rPr>
          <w:rFonts w:ascii="Arial" w:cs="Arial" w:eastAsia="Arial" w:hAnsi="Arial"/>
          <w:sz w:val="18"/>
          <w:szCs w:val="18"/>
          <w:color w:val="auto"/>
        </w:rPr>
        <w:t>Ms. Mann provides a wealth of human resources experience to the Board of Directors. Her leadership in human resources demonstrates her vision and strong management skills and offers extensive human resources insight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ind w:right="60"/>
        <w:spacing w:after="0" w:line="210" w:lineRule="auto"/>
        <w:rPr>
          <w:sz w:val="20"/>
          <w:szCs w:val="20"/>
          <w:color w:val="auto"/>
        </w:rPr>
      </w:pPr>
      <w:r>
        <w:rPr>
          <w:rFonts w:ascii="Arial" w:cs="Arial" w:eastAsia="Arial" w:hAnsi="Arial"/>
          <w:sz w:val="18"/>
          <w:szCs w:val="18"/>
          <w:color w:val="auto"/>
        </w:rPr>
        <w:t>Ms. Mann has been employed with SAS since 1998 and currently serves as Executive Vice President of Human Resources, where she is responsible for developing and guiding SAS’ human resources vision and articulating the organization’s strategy to help acquire, develop, reward and retain the best talent. Ms. Mann leads a global human resources organization that acts as a steward of the SAS culture and engages a global workforce of over 13,000 with diverse talents and skills. SAS has been ranked on the FORTUNE 100 Best Companies to Work For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list since the list’s inception. This recognition includes multiple number one rankings in the US, as well as the World’s Best Multinational Workplaces from Great Place to Work</w:t>
      </w:r>
      <w:r>
        <w:rPr>
          <w:rFonts w:ascii="Arial" w:cs="Arial" w:eastAsia="Arial" w:hAnsi="Arial"/>
          <w:sz w:val="29"/>
          <w:szCs w:val="29"/>
          <w:color w:val="auto"/>
          <w:vertAlign w:val="superscript"/>
        </w:rPr>
        <w:t>®</w:t>
      </w:r>
      <w:r>
        <w:rPr>
          <w:rFonts w:ascii="Arial" w:cs="Arial" w:eastAsia="Arial" w:hAnsi="Arial"/>
          <w:sz w:val="18"/>
          <w:szCs w:val="18"/>
          <w:color w:val="auto"/>
        </w:rPr>
        <w:t>, garnering accolades for SAS across the globe for its workplace culture and commitment to innovation. Her workplace culture insights have been shared in The Wall Street Journal, US World News and Report, CBS MoneyWatch.com, CBS Sunday Morning, CNN and The GREAT Workplace by Michael Burchell and Jennifer Robin. Ms. Mann was selected as a 2014 finalist for Chief Human Resources Officer of the Year by HRO Magazine. Prior to joining SAS, Ms. Mann held human resources leadership roles in industries such as high-tech manufacturing, healthcare and academia.</w:t>
      </w:r>
    </w:p>
    <w:p>
      <w:pPr>
        <w:spacing w:after="0" w:line="1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Ms. Mann serves on the advisory council at North Carolina State University’s Poole College of Management, as well as the board of directors for the North Carolina Marbles Kids Museum.</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spacing w:after="0"/>
        <w:rPr>
          <w:sz w:val="20"/>
          <w:szCs w:val="20"/>
          <w:color w:val="auto"/>
        </w:rPr>
      </w:pPr>
      <w:r>
        <w:rPr>
          <w:rFonts w:ascii="Arial" w:cs="Arial" w:eastAsia="Arial" w:hAnsi="Arial"/>
          <w:sz w:val="18"/>
          <w:szCs w:val="18"/>
          <w:color w:val="auto"/>
        </w:rPr>
        <w:t>Ms. Mann received her bachelor’s degree in Psychology and Business from Meredith College in Raleigh, North Carolina.</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B"/>
        </w:rPr>
        <w:t>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-139065</wp:posOffset>
            </wp:positionV>
            <wp:extent cx="1457325" cy="1440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57325" cy="1440180"/>
                    </a:xfrm>
                    <a:prstGeom prst="rect">
                      <a:avLst/>
                    </a:prstGeom>
                    <a:noFill/>
                  </pic:spPr>
                </pic:pic>
              </a:graphicData>
            </a:graphic>
          </wp:anchor>
        </w:drawing>
      </w:r>
    </w:p>
    <w:p>
      <w:pPr>
        <w:spacing w:after="0" w:line="2" w:lineRule="exact"/>
        <w:rPr>
          <w:sz w:val="20"/>
          <w:szCs w:val="20"/>
          <w:color w:val="auto"/>
        </w:rPr>
      </w:pPr>
    </w:p>
    <w:p>
      <w:pPr>
        <w:ind w:right="5100"/>
        <w:spacing w:after="0" w:line="246" w:lineRule="auto"/>
        <w:rPr>
          <w:sz w:val="20"/>
          <w:szCs w:val="20"/>
          <w:color w:val="auto"/>
        </w:rPr>
      </w:pPr>
      <w:r>
        <w:rPr>
          <w:rFonts w:ascii="Arial" w:cs="Arial" w:eastAsia="Arial" w:hAnsi="Arial"/>
          <w:sz w:val="18"/>
          <w:szCs w:val="18"/>
          <w:color w:val="auto"/>
        </w:rPr>
        <w:t>Age: 69 | Director since: 2012 | Lead Director | Committees: Audit, Executive, Nominating and Corporate Governance, Risk</w:t>
      </w:r>
    </w:p>
    <w:p>
      <w:pPr>
        <w:spacing w:after="0" w:line="183" w:lineRule="exact"/>
        <w:rPr>
          <w:sz w:val="20"/>
          <w:szCs w:val="20"/>
          <w:color w:val="auto"/>
        </w:rPr>
      </w:pPr>
    </w:p>
    <w:p>
      <w:pPr>
        <w:ind w:right="2820"/>
        <w:spacing w:after="0" w:line="238" w:lineRule="auto"/>
        <w:rPr>
          <w:sz w:val="20"/>
          <w:szCs w:val="20"/>
          <w:color w:val="auto"/>
        </w:rPr>
      </w:pPr>
      <w:r>
        <w:rPr>
          <w:rFonts w:ascii="Arial" w:cs="Arial" w:eastAsia="Arial" w:hAnsi="Arial"/>
          <w:sz w:val="18"/>
          <w:szCs w:val="18"/>
          <w:color w:val="auto"/>
        </w:rPr>
        <w:t>Mr. Richlovsky has extensive experience in the financial services industry, having served in senior executive positions in finance, accounting and treasury at major banking organizations. Mr. Richlovsky’s expertise and experience in these finance-related areas of banking provide a valuable perspective making him well suited to serve on United’s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ind w:right="20"/>
        <w:spacing w:after="0" w:line="237" w:lineRule="auto"/>
        <w:rPr>
          <w:sz w:val="20"/>
          <w:szCs w:val="20"/>
          <w:color w:val="auto"/>
        </w:rPr>
      </w:pPr>
      <w:r>
        <w:rPr>
          <w:rFonts w:ascii="Arial" w:cs="Arial" w:eastAsia="Arial" w:hAnsi="Arial"/>
          <w:sz w:val="18"/>
          <w:szCs w:val="18"/>
          <w:color w:val="auto"/>
        </w:rPr>
        <w:t>Mr. Richlovsky retired as Executive Vice President at PNC Financial Services Group Inc. (“PNC”) in 2011. He joined PNC upon its acquisition of National City Corporation in December 2008. Mr. Richlovsky was Chief Financial Officer, Treasurer and Principal Accounting Officer of National City at the time of its acquisition by PNC. During his 30-year tenure with National City, he assumed progressively greater responsibilities and gained extensive financial management, accounting and treasury expertise. Over that same period National City grew from approximately $5 billion in assets and 2,000 employees to $150 billion in assets and over 30,000 employees. Following the sale of National City to PNC, Mr. Richlovsky was appointed Executive Vice President of PNC and assisted in the integration of the two companies as well as managing several functional areas within the PNC finance group.</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Mr. Richlovsky began his business career as an auditor in 1973 with Ernst &amp; Ernst, a predecessor firm of Ernst &amp; Young LLP, in Cleveland, Ohio.</w:t>
      </w:r>
    </w:p>
    <w:p>
      <w:pPr>
        <w:spacing w:after="0" w:line="18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Mr. Richlovsky’s business career he was active in numerous professional organizations, including the American Institute of Certified Public Accountants, Financial Executives Institute, Bank Administration Institute and National Investor Relations Institute. He currently serves on the boards of several educational and charitable organizations.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ind w:right="360"/>
        <w:spacing w:after="0" w:line="246" w:lineRule="auto"/>
        <w:rPr>
          <w:sz w:val="20"/>
          <w:szCs w:val="20"/>
          <w:color w:val="auto"/>
        </w:rPr>
      </w:pPr>
      <w:r>
        <w:rPr>
          <w:rFonts w:ascii="Arial" w:cs="Arial" w:eastAsia="Arial" w:hAnsi="Arial"/>
          <w:sz w:val="18"/>
          <w:szCs w:val="18"/>
          <w:color w:val="auto"/>
        </w:rPr>
        <w:t>Mr. Richlovsky has a bachelor’s degree from Cleveland State University and is a certified public accountant. He also completed graduate studies at The Stonier Graduate School of Banking at Rutgers University.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i w:val="1"/>
          <w:iCs w:val="1"/>
          <w:color w:val="1278AB"/>
        </w:rPr>
        <w:t>David C.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-139065</wp:posOffset>
            </wp:positionV>
            <wp:extent cx="1457325" cy="14490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7325" cy="144907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 71 | Director since: 2016 | Committees: Audit (Chair), Talent and Compensation</w:t>
      </w:r>
    </w:p>
    <w:p>
      <w:pPr>
        <w:spacing w:after="0" w:line="198" w:lineRule="exact"/>
        <w:rPr>
          <w:sz w:val="20"/>
          <w:szCs w:val="20"/>
          <w:color w:val="auto"/>
        </w:rPr>
      </w:pPr>
    </w:p>
    <w:p>
      <w:pPr>
        <w:ind w:right="2860"/>
        <w:spacing w:after="0"/>
        <w:rPr>
          <w:sz w:val="20"/>
          <w:szCs w:val="20"/>
          <w:color w:val="auto"/>
        </w:rPr>
      </w:pPr>
      <w:r>
        <w:rPr>
          <w:rFonts w:ascii="Arial" w:cs="Arial" w:eastAsia="Arial" w:hAnsi="Arial"/>
          <w:sz w:val="18"/>
          <w:szCs w:val="18"/>
          <w:color w:val="auto"/>
        </w:rPr>
        <w:t>Mr. Shaver has extensive accounting and finance experience, having served in senior executive positions in finance, accounting and taxes at major organizations including operating an advisory and accounting practices firm. Mr. Shaver qualifies as a financial expert on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spacing w:after="0" w:line="236" w:lineRule="auto"/>
        <w:rPr>
          <w:sz w:val="20"/>
          <w:szCs w:val="20"/>
          <w:color w:val="auto"/>
        </w:rPr>
      </w:pPr>
      <w:r>
        <w:rPr>
          <w:rFonts w:ascii="Arial" w:cs="Arial" w:eastAsia="Arial" w:hAnsi="Arial"/>
          <w:sz w:val="18"/>
          <w:szCs w:val="18"/>
          <w:color w:val="auto"/>
        </w:rPr>
        <w:t>Mr. Shaver is the founder and Chief Executive Officer of Cost Segregation Advisors, LLC, a national income tax advisory services company which was formed in Atlanta in 2006 and provides services to commercial real estate owners and leaseholders. Mr. Shaver was previously an initial partner with Tatum CFO Partners, now a division of Randstad and was also Chief Financial Officer and an equity partner of International Automotive Corp. Inc. Mr. Shaver also served as the Corporate Controller of The Home Depot, Inc., where he directed financial planning and operations, tax administration and reporting, inventory accounting and control, financial reporting and compliance, and other financial matters. Prior to his experience with The Home Depot, Inc., Mr. Shaver served as Controller for a W.R Grace Retail Group subsidiary and as Controller for Anomalous, Inc., an international subsidiary of Levi Strauss &amp; Co. Mr. Shaver began his professional career in Atlanta, Georgia in 1972 as an auditor with Lybrand, Ross Bros. &amp; Montgomery, a predecessor firm of PwC.</w:t>
      </w:r>
    </w:p>
    <w:p>
      <w:pPr>
        <w:spacing w:after="0" w:line="194"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Mr. Shaver is active in his community as well and, for two years, devoted himself to forensic accounting and crisis management for his church in the office of the finance manager.</w:t>
      </w:r>
    </w:p>
    <w:p>
      <w:pPr>
        <w:spacing w:after="0" w:line="18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Mr. Shaver is a certified public accountant licensed in Georgia and Tennessee and is a member of The American Institute of CPAs, Georgia Society of CPAs, and Tennessee Society of CPAs.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spacing w:after="0"/>
        <w:rPr>
          <w:sz w:val="20"/>
          <w:szCs w:val="20"/>
          <w:color w:val="auto"/>
        </w:rPr>
      </w:pPr>
      <w:r>
        <w:rPr>
          <w:rFonts w:ascii="Arial" w:cs="Arial" w:eastAsia="Arial" w:hAnsi="Arial"/>
          <w:sz w:val="18"/>
          <w:szCs w:val="18"/>
          <w:color w:val="auto"/>
        </w:rPr>
        <w:t>Mr. Shaver received his bachelor’s degree from the University of Tennessee.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B"/>
        </w:rPr>
        <w:t>Tim R.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-139065</wp:posOffset>
            </wp:positionV>
            <wp:extent cx="1457325" cy="14490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57325" cy="144907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 69 | Director since: 1999 | Committees: Talent and Compensation</w:t>
      </w:r>
    </w:p>
    <w:p>
      <w:pPr>
        <w:spacing w:after="0" w:line="198" w:lineRule="exact"/>
        <w:rPr>
          <w:sz w:val="20"/>
          <w:szCs w:val="20"/>
          <w:color w:val="auto"/>
        </w:rPr>
      </w:pPr>
    </w:p>
    <w:p>
      <w:pPr>
        <w:ind w:right="2900"/>
        <w:spacing w:after="0" w:line="238" w:lineRule="auto"/>
        <w:rPr>
          <w:sz w:val="20"/>
          <w:szCs w:val="20"/>
          <w:color w:val="auto"/>
        </w:rPr>
      </w:pPr>
      <w:r>
        <w:rPr>
          <w:rFonts w:ascii="Arial" w:cs="Arial" w:eastAsia="Arial" w:hAnsi="Arial"/>
          <w:sz w:val="18"/>
          <w:szCs w:val="18"/>
          <w:color w:val="auto"/>
        </w:rPr>
        <w:t>Mr. Wallis has been a community leader and long-term owner of a small business. With United’s interest in small business and commercial banking, Mr. Wallis brings a valuable perspective and insight to the Board of Directors. His varied experience in a number of community boards, as well as his service on the United Community Bank — Rome community bank board, gives the Board of Directors a focus on the needs of our mid-size banking communities and the business owners within those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ind w:right="80"/>
        <w:spacing w:after="0" w:line="236" w:lineRule="auto"/>
        <w:rPr>
          <w:sz w:val="20"/>
          <w:szCs w:val="20"/>
          <w:color w:val="auto"/>
        </w:rPr>
      </w:pPr>
      <w:r>
        <w:rPr>
          <w:rFonts w:ascii="Arial" w:cs="Arial" w:eastAsia="Arial" w:hAnsi="Arial"/>
          <w:sz w:val="18"/>
          <w:szCs w:val="18"/>
          <w:color w:val="auto"/>
        </w:rPr>
        <w:t>Mr. Wallis has been President of Wallis Printing in Rome, Georgia since 1985 and has been with the company since 1974. In addition to serving on the Board of Directors of United,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and is on the board of governors where he is the chair for northwest Georgia. Additionally, Mr. Wallis has significant investment interests in retail shopping centers and apartment complexes throughout the Southeast. He also has served on the Darlington School Board of Trustees, Georgia Southern University Foundation Board of Trustees, Rome/Floyd YMCA Board of Trustees and the United Way of Rome and Floyd County Board of Trustees.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spacing w:after="0"/>
        <w:rPr>
          <w:sz w:val="20"/>
          <w:szCs w:val="20"/>
          <w:color w:val="auto"/>
        </w:rPr>
      </w:pPr>
      <w:r>
        <w:rPr>
          <w:rFonts w:ascii="Arial" w:cs="Arial" w:eastAsia="Arial" w:hAnsi="Arial"/>
          <w:sz w:val="18"/>
          <w:szCs w:val="18"/>
          <w:color w:val="auto"/>
        </w:rPr>
        <w:t>Mr. Wallis is a graduate of Georgia Southern University.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i w:val="1"/>
          <w:iCs w:val="1"/>
          <w:color w:val="1077A9"/>
        </w:rPr>
        <w:t>David H.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-139065</wp:posOffset>
            </wp:positionV>
            <wp:extent cx="1457325" cy="14490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57325" cy="144907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 74 | Director since: 2016 | Committees: Nominating and Corporate Governance</w:t>
      </w:r>
    </w:p>
    <w:p>
      <w:pPr>
        <w:spacing w:after="0" w:line="198" w:lineRule="exact"/>
        <w:rPr>
          <w:sz w:val="20"/>
          <w:szCs w:val="20"/>
          <w:color w:val="auto"/>
        </w:rPr>
      </w:pPr>
    </w:p>
    <w:p>
      <w:pPr>
        <w:ind w:right="2840"/>
        <w:spacing w:after="0" w:line="238" w:lineRule="auto"/>
        <w:rPr>
          <w:sz w:val="20"/>
          <w:szCs w:val="20"/>
          <w:color w:val="auto"/>
        </w:rPr>
      </w:pPr>
      <w:r>
        <w:rPr>
          <w:rFonts w:ascii="Arial" w:cs="Arial" w:eastAsia="Arial" w:hAnsi="Arial"/>
          <w:sz w:val="18"/>
          <w:szCs w:val="18"/>
          <w:color w:val="auto"/>
        </w:rPr>
        <w:t>Mr. Wilkins has extensive legal, regulatory and governance experience, having served in a senior position in a large regional law firm and as a U.S. Ambassador and Member of a State House of Representatives. Mr. Wilkins’ legal and governance experience provides a valuable perspective to United’s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Career Highlights</w:t>
      </w:r>
    </w:p>
    <w:p>
      <w:pPr>
        <w:jc w:val="both"/>
        <w:ind w:right="2820"/>
        <w:spacing w:after="0" w:line="238" w:lineRule="auto"/>
        <w:rPr>
          <w:sz w:val="20"/>
          <w:szCs w:val="20"/>
          <w:color w:val="auto"/>
        </w:rPr>
      </w:pPr>
      <w:r>
        <w:rPr>
          <w:rFonts w:ascii="Arial" w:cs="Arial" w:eastAsia="Arial" w:hAnsi="Arial"/>
          <w:sz w:val="18"/>
          <w:szCs w:val="18"/>
          <w:color w:val="auto"/>
        </w:rPr>
        <w:t>Ambassador Wilkins is a partner at Nelson Mullins Riley &amp; Scarborough LLP in Greenville, South Carolina and chairs the Public Policy and International Law practice group with a special focus on U.S. — Canada interests. He proudly served as U.S. Ambassador to Canada from June 2005 to January 2009, appointed by President George W. Bush.</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Since returning to South Carolina from Canada, Ambassador Wilkins spent six years chairing the Clemson University Board of Trustees and remains an active member of that board. Additionally, he has served as a director on several corporate boards over the past ten years. He is a member of both the South Carolina Bar Association and the American Bar Association. In 2010, then South Carolina’s Governor-elect Nikki Haley tapped Mr. Wilkins to chair her government transition team. First elected in 1980, Ambassador Wilkins served 25 years in the South Carolina House of Representatives. He was elected speaker in 1994 — a position he held for 11 years until he resigned for his ambassadorship post. He is the recipient of numerous awards including the state’s highest honor, the Order of the Palmetto.</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Education</w:t>
      </w:r>
    </w:p>
    <w:p>
      <w:pPr>
        <w:spacing w:after="0"/>
        <w:rPr>
          <w:sz w:val="20"/>
          <w:szCs w:val="20"/>
          <w:color w:val="auto"/>
        </w:rPr>
      </w:pPr>
      <w:r>
        <w:rPr>
          <w:rFonts w:ascii="Arial" w:cs="Arial" w:eastAsia="Arial" w:hAnsi="Arial"/>
          <w:sz w:val="18"/>
          <w:szCs w:val="18"/>
          <w:color w:val="auto"/>
        </w:rPr>
        <w:t>Mr. Wilkins received his bachelor’s degree from Clemson University and his J.D. degree from University of South Carolina School of Law.</w:t>
      </w:r>
    </w:p>
    <w:p>
      <w:pPr>
        <w:spacing w:after="0" w:line="164" w:lineRule="exact"/>
        <w:rPr>
          <w:sz w:val="20"/>
          <w:szCs w:val="20"/>
          <w:color w:val="auto"/>
        </w:rPr>
      </w:pPr>
    </w:p>
    <w:p>
      <w:pPr>
        <w:ind w:right="1380"/>
        <w:spacing w:after="0" w:line="277" w:lineRule="auto"/>
        <w:rPr>
          <w:sz w:val="20"/>
          <w:szCs w:val="20"/>
          <w:color w:val="auto"/>
        </w:rPr>
      </w:pPr>
      <w:r>
        <w:rPr>
          <w:rFonts w:ascii="Arial" w:cs="Arial" w:eastAsia="Arial" w:hAnsi="Arial"/>
          <w:sz w:val="27"/>
          <w:szCs w:val="27"/>
          <w:b w:val="1"/>
          <w:bCs w:val="1"/>
          <w:color w:val="1077A9"/>
        </w:rPr>
        <w:t>Process for Shareholder to Recommend Individuals for Consideration by the Nominating and Corporate Governance Committee</w:t>
      </w:r>
    </w:p>
    <w:p>
      <w:pPr>
        <w:spacing w:after="0" w:line="14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Any shareholder who wishes to recommend a director candidate for consideration by our Nominating and Corporate Governance Committee must submit a written notice to our Corporate Secretary. For the 2022 Annual Meeting of Shareholders, the Nominating and Corporate Governance Committee will consider recommendations received by November 30, 2021. The written notice must set forth:</w:t>
      </w:r>
    </w:p>
    <w:p>
      <w:pPr>
        <w:spacing w:after="0" w:line="20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of United which are beneficially owned by the nominee;</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the nominating shareholder, would be voted for such person;</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 and</w:t>
      </w:r>
    </w:p>
    <w:p>
      <w:pPr>
        <w:spacing w:after="0" w:line="22" w:lineRule="exact"/>
        <w:rPr>
          <w:rFonts w:ascii="Arial" w:cs="Arial" w:eastAsia="Arial" w:hAnsi="Arial"/>
          <w:sz w:val="18"/>
          <w:szCs w:val="18"/>
          <w:color w:val="auto"/>
        </w:rPr>
      </w:pPr>
    </w:p>
    <w:p>
      <w:pPr>
        <w:ind w:left="660" w:right="140" w:hanging="328"/>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and residence address of the nominating shareholder, and the number of shares of United that are beneficially owned by the nominating shareholder.</w:t>
      </w:r>
    </w:p>
    <w:p>
      <w:pPr>
        <w:spacing w:after="0" w:line="19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Written notices should be sent to the Corporate Secretary, United Community Banks, Inc., 2 West Washington Street, Suite 700, Greenville, South Carolina, 29601. There were no director nominations proposed for the 2021 Annual Meeting by any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800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67" w:lineRule="exact"/>
        <w:rPr>
          <w:sz w:val="20"/>
          <w:szCs w:val="20"/>
          <w:color w:val="auto"/>
        </w:rPr>
      </w:pPr>
    </w:p>
    <w:p>
      <w:pPr>
        <w:ind w:left="1960" w:right="1780" w:hanging="219"/>
        <w:spacing w:after="0" w:line="285" w:lineRule="auto"/>
        <w:rPr>
          <w:sz w:val="20"/>
          <w:szCs w:val="20"/>
          <w:color w:val="auto"/>
        </w:rPr>
      </w:pPr>
      <w:r>
        <w:rPr>
          <w:rFonts w:ascii="Arial" w:cs="Arial" w:eastAsia="Arial" w:hAnsi="Arial"/>
          <w:sz w:val="21"/>
          <w:szCs w:val="21"/>
          <w:b w:val="1"/>
          <w:bCs w:val="1"/>
          <w:i w:val="1"/>
          <w:iCs w:val="1"/>
          <w:color w:val="FFFFFF"/>
        </w:rPr>
        <w:t>THE BOARD UNANIMOUSLY RECOMMENDS THAT SHAREHOLDERS VOTE “FOR ALL” OF THE 11 DIRECTOR NOMINEES NAMED IN PROPOSAL 1</w:t>
      </w:r>
      <w:r>
        <w:rPr>
          <w:rFonts w:ascii="Arial" w:cs="Arial" w:eastAsia="Arial" w:hAnsi="Arial"/>
          <w:sz w:val="21"/>
          <w:szCs w:val="2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 w:name="page17"/>
    <w:bookmarkEnd w:id="16"/>
    <w:p>
      <w:pPr>
        <w:spacing w:after="0"/>
        <w:rPr>
          <w:sz w:val="20"/>
          <w:szCs w:val="20"/>
          <w:color w:val="auto"/>
        </w:rPr>
      </w:pPr>
      <w:r>
        <w:rPr>
          <w:rFonts w:ascii="Arial" w:cs="Arial" w:eastAsia="Arial" w:hAnsi="Arial"/>
          <w:sz w:val="36"/>
          <w:szCs w:val="36"/>
          <w:b w:val="1"/>
          <w:bCs w:val="1"/>
          <w:color w:val="143964"/>
        </w:rPr>
        <w:t>Corporate Governance</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Our Board of Directors</w:t>
      </w:r>
    </w:p>
    <w:p>
      <w:pPr>
        <w:spacing w:after="0" w:line="2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Board provides active, engaged, independent oversight of the Company. All members of the Board are well engaged in their responsibilities. The Board places a high value on collegiality and open dialogue. The Board proactively fosters a culture of transparency and respect for others. At Board meetings, the Lead Director and other Board members regularly articulate the desire for all members of the Board to express their views and to be open to the opinions of others. We believe that the Board’s commitment to this positive culture is the core attribute that facilitates the Board’s effective independent oversight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834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834515"/>
                    </a:xfrm>
                    <a:prstGeom prst="rect">
                      <a:avLst/>
                    </a:prstGeom>
                    <a:noFill/>
                  </pic:spPr>
                </pic:pic>
              </a:graphicData>
            </a:graphic>
          </wp:anchor>
        </w:drawing>
      </w:r>
    </w:p>
    <w:p>
      <w:pPr>
        <w:spacing w:after="0" w:line="366" w:lineRule="exact"/>
        <w:rPr>
          <w:sz w:val="20"/>
          <w:szCs w:val="20"/>
          <w:color w:val="auto"/>
        </w:rPr>
      </w:pPr>
    </w:p>
    <w:p>
      <w:pPr>
        <w:ind w:left="340"/>
        <w:spacing w:after="0"/>
        <w:rPr>
          <w:sz w:val="20"/>
          <w:szCs w:val="20"/>
          <w:color w:val="auto"/>
        </w:rPr>
      </w:pPr>
      <w:r>
        <w:rPr>
          <w:rFonts w:ascii="Arial" w:cs="Arial" w:eastAsia="Arial" w:hAnsi="Arial"/>
          <w:sz w:val="22"/>
          <w:szCs w:val="22"/>
          <w:color w:val="1077A9"/>
        </w:rPr>
        <w:t>Our Board is guided by strong governance principles and practices, including the following:</w:t>
      </w:r>
    </w:p>
    <w:p>
      <w:pPr>
        <w:spacing w:after="0" w:line="212" w:lineRule="exact"/>
        <w:rPr>
          <w:sz w:val="20"/>
          <w:szCs w:val="20"/>
          <w:color w:val="auto"/>
        </w:rPr>
      </w:pPr>
    </w:p>
    <w:p>
      <w:pPr>
        <w:ind w:left="660" w:hanging="35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independent director with clearly defined role</w:t>
      </w:r>
    </w:p>
    <w:p>
      <w:pPr>
        <w:spacing w:after="0" w:line="22" w:lineRule="exact"/>
        <w:rPr>
          <w:rFonts w:ascii="Arial" w:cs="Arial" w:eastAsia="Arial" w:hAnsi="Arial"/>
          <w:sz w:val="18"/>
          <w:szCs w:val="18"/>
          <w:color w:val="auto"/>
        </w:rPr>
      </w:pPr>
    </w:p>
    <w:p>
      <w:pPr>
        <w:ind w:left="660" w:right="240" w:hanging="359"/>
        <w:spacing w:after="0" w:line="24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 independent directors serving on Nominating and Corporate Governance Committee, Talent and Compensation Committee, Audit Committee, and Risk Committee</w:t>
      </w:r>
    </w:p>
    <w:p>
      <w:pPr>
        <w:spacing w:after="0" w:line="7" w:lineRule="exact"/>
        <w:rPr>
          <w:rFonts w:ascii="Arial" w:cs="Arial" w:eastAsia="Arial" w:hAnsi="Arial"/>
          <w:sz w:val="18"/>
          <w:szCs w:val="18"/>
          <w:color w:val="auto"/>
        </w:rPr>
      </w:pPr>
    </w:p>
    <w:p>
      <w:pPr>
        <w:ind w:left="660" w:hanging="35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sessions of independent directors at each regular Board meeting</w:t>
      </w:r>
    </w:p>
    <w:p>
      <w:pPr>
        <w:spacing w:after="0" w:line="22" w:lineRule="exact"/>
        <w:rPr>
          <w:rFonts w:ascii="Arial" w:cs="Arial" w:eastAsia="Arial" w:hAnsi="Arial"/>
          <w:sz w:val="18"/>
          <w:szCs w:val="18"/>
          <w:color w:val="auto"/>
        </w:rPr>
      </w:pPr>
    </w:p>
    <w:p>
      <w:pPr>
        <w:ind w:left="660" w:hanging="35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Continuous consideration of Board and committee composition and refreshment</w:t>
      </w:r>
    </w:p>
    <w:p>
      <w:pPr>
        <w:spacing w:after="0" w:line="22" w:lineRule="exact"/>
        <w:rPr>
          <w:rFonts w:ascii="Arial" w:cs="Arial" w:eastAsia="Arial" w:hAnsi="Arial"/>
          <w:sz w:val="18"/>
          <w:szCs w:val="18"/>
          <w:color w:val="auto"/>
        </w:rPr>
      </w:pPr>
    </w:p>
    <w:p>
      <w:pPr>
        <w:ind w:left="660" w:hanging="35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comprehensive Board and committee self-assessments</w:t>
      </w:r>
    </w:p>
    <w:p>
      <w:pPr>
        <w:spacing w:after="0" w:line="22" w:lineRule="exact"/>
        <w:rPr>
          <w:rFonts w:ascii="Arial" w:cs="Arial" w:eastAsia="Arial" w:hAnsi="Arial"/>
          <w:sz w:val="18"/>
          <w:szCs w:val="18"/>
          <w:color w:val="auto"/>
        </w:rPr>
      </w:pPr>
    </w:p>
    <w:p>
      <w:pPr>
        <w:ind w:left="660" w:hanging="35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Board access to management and transparency and openness in communications</w:t>
      </w:r>
    </w:p>
    <w:p>
      <w:pPr>
        <w:spacing w:after="0" w:line="22" w:lineRule="exact"/>
        <w:rPr>
          <w:rFonts w:ascii="Arial" w:cs="Arial" w:eastAsia="Arial" w:hAnsi="Arial"/>
          <w:sz w:val="18"/>
          <w:szCs w:val="18"/>
          <w:color w:val="auto"/>
        </w:rPr>
      </w:pPr>
    </w:p>
    <w:p>
      <w:pPr>
        <w:ind w:left="660" w:hanging="35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 ownership requirements for directors</w:t>
      </w:r>
    </w:p>
    <w:p>
      <w:pPr>
        <w:spacing w:after="0" w:line="22" w:lineRule="exact"/>
        <w:rPr>
          <w:rFonts w:ascii="Arial" w:cs="Arial" w:eastAsia="Arial" w:hAnsi="Arial"/>
          <w:sz w:val="18"/>
          <w:szCs w:val="18"/>
          <w:color w:val="auto"/>
        </w:rPr>
      </w:pPr>
    </w:p>
    <w:p>
      <w:pPr>
        <w:ind w:left="660" w:hanging="35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Strict anti-hedging policy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Among other important functions, our Board and its committees:</w:t>
      </w:r>
    </w:p>
    <w:p>
      <w:pPr>
        <w:spacing w:after="0" w:line="212" w:lineRule="exact"/>
        <w:rPr>
          <w:sz w:val="20"/>
          <w:szCs w:val="20"/>
          <w:color w:val="auto"/>
        </w:rPr>
      </w:pPr>
    </w:p>
    <w:p>
      <w:pPr>
        <w:ind w:left="660" w:right="42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management’s development and implementation of a multi-year strategic business plan and annual operating plan and monitor our progress in meeting these plans</w:t>
      </w:r>
    </w:p>
    <w:p>
      <w:pPr>
        <w:spacing w:after="0" w:line="7" w:lineRule="exact"/>
        <w:rPr>
          <w:rFonts w:ascii="Arial" w:cs="Arial" w:eastAsia="Arial" w:hAnsi="Arial"/>
          <w:sz w:val="18"/>
          <w:szCs w:val="18"/>
          <w:color w:val="auto"/>
        </w:rPr>
      </w:pPr>
    </w:p>
    <w:p>
      <w:pPr>
        <w:ind w:left="660" w:right="68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our risk management processes and efforts to identify, assess, and manage or mitigate material risks facing United, including operational, cyber, credit, market, liquidity, compliance, and reputational risks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our audit function, our independent registered public accounting firm, and the integrity of our financial statements</w:t>
      </w:r>
    </w:p>
    <w:p>
      <w:pPr>
        <w:spacing w:after="0" w:line="22" w:lineRule="exact"/>
        <w:rPr>
          <w:rFonts w:ascii="Arial" w:cs="Arial" w:eastAsia="Arial" w:hAnsi="Arial"/>
          <w:sz w:val="18"/>
          <w:szCs w:val="18"/>
          <w:color w:val="auto"/>
        </w:rPr>
      </w:pPr>
    </w:p>
    <w:p>
      <w:pPr>
        <w:ind w:left="660" w:right="18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monitor, and approve succession plans for our Chief Executive Officer (“CEO”) and other key executives to promote senior management continuity</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establishment and administration of appropriately designed compensation programs and plans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our CEO’s performance and approve the total annual compensation for our CEO and other executive officers</w:t>
      </w:r>
    </w:p>
    <w:p>
      <w:pPr>
        <w:spacing w:after="0" w:line="22" w:lineRule="exact"/>
        <w:rPr>
          <w:rFonts w:ascii="Arial" w:cs="Arial" w:eastAsia="Arial" w:hAnsi="Arial"/>
          <w:sz w:val="18"/>
          <w:szCs w:val="18"/>
          <w:color w:val="auto"/>
        </w:rPr>
      </w:pPr>
    </w:p>
    <w:p>
      <w:pPr>
        <w:ind w:left="660" w:right="6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Company’s maintenance of high ethical standards, including by adoption of a code of ethical conduct that applies to our executive management and the Board</w:t>
      </w:r>
    </w:p>
    <w:p>
      <w:pPr>
        <w:spacing w:after="0" w:line="7" w:lineRule="exact"/>
        <w:rPr>
          <w:rFonts w:ascii="Arial" w:cs="Arial" w:eastAsia="Arial" w:hAnsi="Arial"/>
          <w:sz w:val="18"/>
          <w:szCs w:val="18"/>
          <w:color w:val="auto"/>
        </w:rPr>
      </w:pPr>
    </w:p>
    <w:p>
      <w:pPr>
        <w:ind w:left="660" w:right="70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our environmental, social, and governance (“ESG”) initiatives, including our human capital management policies and practices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17" w:name="page18"/>
    <w:bookmarkEnd w:id="17"/>
    <w:p>
      <w:pPr>
        <w:spacing w:after="0"/>
        <w:rPr>
          <w:sz w:val="20"/>
          <w:szCs w:val="20"/>
          <w:color w:val="auto"/>
        </w:rPr>
      </w:pPr>
      <w:r>
        <w:rPr>
          <w:rFonts w:ascii="Arial" w:cs="Arial" w:eastAsia="Arial" w:hAnsi="Arial"/>
          <w:sz w:val="27"/>
          <w:szCs w:val="27"/>
          <w:b w:val="1"/>
          <w:bCs w:val="1"/>
          <w:color w:val="1077A9"/>
        </w:rPr>
        <w:t>Director Independence</w:t>
      </w:r>
    </w:p>
    <w:p>
      <w:pPr>
        <w:spacing w:after="0" w:line="23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NASDAQ listing standards require that a majority of our directors be independent and that each member of our Audit Committee, Nominating and Corporate Governance Committee and Talent and Compensation Committee be independent. Our Board determines the independence of each director and director nominee in accordance with guidelines it has adopted, which include all elements of independence set forth in the NASDAQ listing standards and SEC rules. The Board first considers whether any director or nominee has a relationship covered by the NASDAQ listing standards that would prohibit an independence finding for Board or committee purposes. Any director who has a material relationship with United or its management is not considered to be independent.</w:t>
      </w:r>
    </w:p>
    <w:p>
      <w:pPr>
        <w:spacing w:after="0" w:line="19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Board has affirmatively determined that all of our director nominees are independent, except for our CEO, H. Lynn Harton, due to his employment with the Company. Specifically, the Board determined that 10 of 11 of our director nominees are independent under NASDAQ listing standards and our guidelines: Mr. Blalock, Dr. Clements, Ms. Cox, Mr. Daniels, Mr. Drummond, Ms. Mann, Mr. Richlovsky, Mr. Shaver, Mr. Wallis, and Mr. Wilkins. Our Board made a determination as to each independent director that no relationship exists which, in the opinion of the Board, would interfere with the exercise of the director’s independent judgment in carrying out his or her responsibilities as a director. The Board also determined that each person who currently serves or who served in 2020 on the Audit Committee, the Talent and Compensation Committee and the Nominating and Corporate Governance Committee meets or met, as applicable, the NASDAQ independence requirements for membership on those committees and, as to the Audit Committee, SEC rules.</w:t>
      </w:r>
    </w:p>
    <w:p>
      <w:pPr>
        <w:spacing w:after="0" w:line="19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reaching the determination that Mr. Wilkins is independent, the Board considered that during 2020, United paid approximately $1.4 million to the law firm Nelson Mullins Riley &amp; Scarborough (“NMRS”) for various legal services. Mr. Wilkins is a partner in NMRS. The Audit Committee and Board were aware of this relationship when NMRS was approved to perform legal work for the Company. The fees paid to NMRS amount to less than three-tenths of 1% of that firm’s total revenue and did not exceed established thresholds that are incompatible with Mr. Wilkins being considered independent, as set under the rules of NASDAQ and applicable provisions of the Securities Exchange Act of 1934 (the “Exchange Act”) Mr. Wilkins performed no legal work for the Company and received no compensation related to the engagement.</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Board Leadership Structure</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Board periodically reviews its leadership structure. The Board maintains flexibility to determine the most effective leadership structure in light of the composition of the Board, the composition of management, and the needs of the Company as they change over time. We currently have a Chairman and an independent Lead Director. Mr. Harton, our CEO, serves as Chairman, and Mr. Richlovsky serves as Lead Director. The Lead Director is appointed by the Board upon the recommendation of the Nominating and Corporate Governance Committee.</w:t>
      </w:r>
    </w:p>
    <w:p>
      <w:pPr>
        <w:spacing w:after="0" w:line="17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Board believes that the existing structure, with Mr. Harton as Chairman and Mr. Richlovsky as Lead Director, continues to be the most effective leadership structure at this time. The Company benefits from an executive Chairman with deep experience in the financial services industry and knowledge of the Company’s emerging risks and issues that flows from close coordination with the management team. The combined CEO and Chairman role allows the Company to communicate its strategy to employees, customers, regulators, shareholders, and other stakeholders in a single voice. The Company likewise benefits from a Lead Director with deep experience in the financial services industry who communicates regularly with the Chairman, other members of the Company’s management team, and the other independent directors. We believe that the joints efforts and coordination between our Chairman and Lead Director exemplifies effective Board leadership and fulfillment of the Board’s oversight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Lead Director is highly engaged with management and the other independent directors. Our Lead Director:</w:t>
      </w:r>
    </w:p>
    <w:p>
      <w:pPr>
        <w:spacing w:after="0" w:line="19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Regularly meets with our CEO</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Coordinates with the CEO and committee chairs to develop Board and committee meeting agendas</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Regularly speaks with each of the committee chairs</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Attends all committee meetings</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Advises the CEO of the information needs of the Board and provides feedback from the Board</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Serves as a “sounding board” for the CEO</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Develops topics of discussion for executive sessions of our Board</w:t>
      </w:r>
    </w:p>
    <w:p>
      <w:pPr>
        <w:ind w:left="660" w:hanging="328"/>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Leads the executive sessions of our Board</w:t>
      </w:r>
    </w:p>
    <w:p>
      <w:pPr>
        <w:ind w:left="660" w:right="240" w:hanging="328"/>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Coordinates with the CEO and Chair of the Nominating and Corporate Governance Committee to develop the Board’s annual self-evaluations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 w:name="page19"/>
    <w:bookmarkEnd w:id="18"/>
    <w:p>
      <w:pPr>
        <w:spacing w:after="0"/>
        <w:rPr>
          <w:sz w:val="20"/>
          <w:szCs w:val="20"/>
          <w:color w:val="auto"/>
        </w:rPr>
      </w:pPr>
      <w:r>
        <w:rPr>
          <w:rFonts w:ascii="Arial" w:cs="Arial" w:eastAsia="Arial" w:hAnsi="Arial"/>
          <w:sz w:val="27"/>
          <w:szCs w:val="27"/>
          <w:b w:val="1"/>
          <w:bCs w:val="1"/>
          <w:color w:val="1077A9"/>
        </w:rPr>
        <w:t>Board Evaluation</w:t>
      </w:r>
    </w:p>
    <w:p>
      <w:pPr>
        <w:spacing w:after="0" w:line="237"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The Board and each Board committee continuously evaluate their own effectiveness throughout the year. The Lead Director, the committee chairs, and the CEO/Chairman regularly discuss the Board and Board committee areas of responsibility and processes, as well as general governance principles, to seek ways in which to enhance the Board’s effectiveness and efficiency.</w:t>
      </w:r>
    </w:p>
    <w:p>
      <w:pPr>
        <w:spacing w:after="0" w:line="18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addition, the Board and each committee annually perform self-evaluations using a process approved by the Nominating and Corporate Governance Committee. In addition, directors are asked to provide candid feedback on individual members of the Board to the Chair of the Nominating and Corporate Governance Committee, the Chairman of the Board or the Lead Director, who then meet to discuss individual director performance and succession considerations.</w:t>
      </w:r>
    </w:p>
    <w:p>
      <w:pPr>
        <w:spacing w:after="0" w:line="19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Board retains an outside consultant to facilitate the annual self-evaluation process. In connection with the annual self-evaluation process, Board members complete a questionnaire. Among other topics, the 2020 self-evaluation questionnaire covered these key areas:</w:t>
      </w:r>
    </w:p>
    <w:p>
      <w:pPr>
        <w:spacing w:after="0" w:line="17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meetings and information provided</w:t>
      </w: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meeting topics</w:t>
      </w: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Alignment of Board and management</w:t>
      </w: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Communication between Board and management</w:t>
      </w: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composition, skills, and expertise</w:t>
      </w: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development</w:t>
      </w: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committees and effectiveness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Board self-evaluation process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reviewed and discussed the results of the self-evaluation process as part of the annual self-evaluation.</w:t>
      </w:r>
    </w:p>
    <w:p>
      <w:pPr>
        <w:spacing w:after="0" w:line="164"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CEO and Key Management Succession Planning</w:t>
      </w:r>
    </w:p>
    <w:p>
      <w:pPr>
        <w:spacing w:after="0" w:line="23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Board oversees our long-term management development and succession. Management maintains procedures that would be implemented upon the sudden departure of our Chief Executive Officer or other key members of our executive team. The management development and succession program focuses on key positions and succession elements, including identification of potential successors for positions when it is determined that internal succession is appropriate, assessment of each potential successor’s level of readiness, and preparation of individual growth and development plans. The succession plans are reviewed by the Board at least annually.</w:t>
      </w:r>
    </w:p>
    <w:p>
      <w:pPr>
        <w:spacing w:after="0" w:line="154"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Board Committees</w:t>
      </w:r>
    </w:p>
    <w:p>
      <w:pPr>
        <w:spacing w:after="0" w:line="23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Board has established 5 standing committees: Audit, Talent and Compensation, Nominating and Corporate Governance, Risk, and Executive. Our Board Committees act on behalf of the Board and report their activities to the Board at regular Board meetings. The Board appoints the members of each committee based on the recommendation of the Nominating and Corporate Governance Committee.</w:t>
      </w:r>
    </w:p>
    <w:p>
      <w:pPr>
        <w:spacing w:after="0" w:line="18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At least annually, the Board and the Nominating and Corporate Governance Committee review the committee member assignments and chair positions and considers committee changes, refreshment, and chair rotations. Three of our committees have new Chairs since 2019. The Board and Nominating and Corporate Governance Committee also review the director qualifications and experience matrix to assist them in evaluating the experience of directors on each committee. The director qualifications and experience matrix can be found under Board Qualifications and Experience: Board Qualifications and Experience Matrix.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identifies the current members and chairs of each of our 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126365</wp:posOffset>
            </wp:positionV>
            <wp:extent cx="8255" cy="6000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60007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126365</wp:posOffset>
            </wp:positionV>
            <wp:extent cx="8890" cy="6000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126365</wp:posOffset>
            </wp:positionV>
            <wp:extent cx="8890" cy="6000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126365</wp:posOffset>
            </wp:positionV>
            <wp:extent cx="8890" cy="6000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60007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126365</wp:posOffset>
            </wp:positionV>
            <wp:extent cx="8890" cy="6000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60007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020" w:type="dxa"/>
            <w:vAlign w:val="bottom"/>
            <w:tcBorders>
              <w:right w:val="single" w:sz="8" w:color="1077A9"/>
            </w:tcBorders>
            <w:shd w:val="clear" w:color="auto" w:fill="1077A9"/>
          </w:tcPr>
          <w:p>
            <w:pPr>
              <w:spacing w:after="0"/>
              <w:rPr>
                <w:sz w:val="24"/>
                <w:szCs w:val="24"/>
                <w:color w:val="auto"/>
              </w:rPr>
            </w:pPr>
          </w:p>
        </w:tc>
        <w:tc>
          <w:tcPr>
            <w:tcW w:w="260" w:type="dxa"/>
            <w:vAlign w:val="bottom"/>
            <w:tcBorders>
              <w:right w:val="single" w:sz="8" w:color="1077A9"/>
            </w:tcBorders>
            <w:shd w:val="clear" w:color="auto" w:fill="1077A9"/>
          </w:tcPr>
          <w:p>
            <w:pPr>
              <w:spacing w:after="0"/>
              <w:rPr>
                <w:sz w:val="24"/>
                <w:szCs w:val="24"/>
                <w:color w:val="auto"/>
              </w:rPr>
            </w:pPr>
          </w:p>
        </w:tc>
        <w:tc>
          <w:tcPr>
            <w:tcW w:w="1800" w:type="dxa"/>
            <w:vAlign w:val="bottom"/>
            <w:tcBorders>
              <w:right w:val="single" w:sz="8" w:color="1077A9"/>
            </w:tcBorders>
            <w:shd w:val="clear" w:color="auto" w:fill="1077A9"/>
          </w:tcPr>
          <w:p>
            <w:pPr>
              <w:spacing w:after="0"/>
              <w:rPr>
                <w:sz w:val="24"/>
                <w:szCs w:val="24"/>
                <w:color w:val="auto"/>
              </w:rPr>
            </w:pPr>
          </w:p>
        </w:tc>
        <w:tc>
          <w:tcPr>
            <w:tcW w:w="1800" w:type="dxa"/>
            <w:vAlign w:val="bottom"/>
            <w:tcBorders>
              <w:right w:val="single" w:sz="8" w:color="1077A9"/>
            </w:tcBorders>
            <w:shd w:val="clear" w:color="auto" w:fill="1077A9"/>
          </w:tcPr>
          <w:p>
            <w:pPr>
              <w:spacing w:after="0"/>
              <w:rPr>
                <w:sz w:val="24"/>
                <w:szCs w:val="24"/>
                <w:color w:val="auto"/>
              </w:rPr>
            </w:pPr>
          </w:p>
        </w:tc>
        <w:tc>
          <w:tcPr>
            <w:tcW w:w="1780" w:type="dxa"/>
            <w:vAlign w:val="bottom"/>
            <w:tcBorders>
              <w:right w:val="single" w:sz="8" w:color="1077A9"/>
            </w:tcBorders>
            <w:shd w:val="clear" w:color="auto" w:fill="1077A9"/>
          </w:tcPr>
          <w:p>
            <w:pPr>
              <w:jc w:val="center"/>
              <w:spacing w:after="0"/>
              <w:rPr>
                <w:sz w:val="20"/>
                <w:szCs w:val="20"/>
                <w:color w:val="auto"/>
              </w:rPr>
            </w:pPr>
            <w:r>
              <w:rPr>
                <w:rFonts w:ascii="Arial" w:cs="Arial" w:eastAsia="Arial" w:hAnsi="Arial"/>
                <w:sz w:val="18"/>
                <w:szCs w:val="18"/>
                <w:color w:val="FFFFFF"/>
                <w:w w:val="98"/>
              </w:rPr>
              <w:t>Nominating</w:t>
            </w:r>
          </w:p>
        </w:tc>
        <w:tc>
          <w:tcPr>
            <w:tcW w:w="1800" w:type="dxa"/>
            <w:vAlign w:val="bottom"/>
            <w:tcBorders>
              <w:right w:val="single" w:sz="8" w:color="1077A9"/>
            </w:tcBorders>
            <w:shd w:val="clear" w:color="auto" w:fill="1077A9"/>
          </w:tcPr>
          <w:p>
            <w:pPr>
              <w:spacing w:after="0"/>
              <w:rPr>
                <w:sz w:val="24"/>
                <w:szCs w:val="24"/>
                <w:color w:val="auto"/>
              </w:rPr>
            </w:pPr>
          </w:p>
        </w:tc>
        <w:tc>
          <w:tcPr>
            <w:tcW w:w="1780" w:type="dxa"/>
            <w:vAlign w:val="bottom"/>
            <w:vMerge w:val="restart"/>
            <w:shd w:val="clear" w:color="auto" w:fill="1077A9"/>
          </w:tcPr>
          <w:p>
            <w:pPr>
              <w:jc w:val="center"/>
              <w:spacing w:after="0"/>
              <w:rPr>
                <w:sz w:val="20"/>
                <w:szCs w:val="20"/>
                <w:color w:val="auto"/>
              </w:rPr>
            </w:pPr>
            <w:r>
              <w:rPr>
                <w:rFonts w:ascii="Arial" w:cs="Arial" w:eastAsia="Arial" w:hAnsi="Arial"/>
                <w:sz w:val="18"/>
                <w:szCs w:val="18"/>
                <w:color w:val="FFFFFF"/>
                <w:w w:val="96"/>
              </w:rPr>
              <w:t>Talent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20" w:type="dxa"/>
            <w:vAlign w:val="bottom"/>
            <w:tcBorders>
              <w:right w:val="single" w:sz="8" w:color="1077A9"/>
            </w:tcBorders>
            <w:shd w:val="clear" w:color="auto" w:fill="1077A9"/>
          </w:tcPr>
          <w:p>
            <w:pPr>
              <w:spacing w:after="0"/>
              <w:rPr>
                <w:sz w:val="8"/>
                <w:szCs w:val="8"/>
                <w:color w:val="auto"/>
              </w:rPr>
            </w:pPr>
          </w:p>
        </w:tc>
        <w:tc>
          <w:tcPr>
            <w:tcW w:w="260" w:type="dxa"/>
            <w:vAlign w:val="bottom"/>
            <w:tcBorders>
              <w:right w:val="single" w:sz="8" w:color="1077A9"/>
            </w:tcBorders>
            <w:shd w:val="clear" w:color="auto" w:fill="1077A9"/>
          </w:tcPr>
          <w:p>
            <w:pPr>
              <w:spacing w:after="0"/>
              <w:rPr>
                <w:sz w:val="8"/>
                <w:szCs w:val="8"/>
                <w:color w:val="auto"/>
              </w:rPr>
            </w:pPr>
          </w:p>
        </w:tc>
        <w:tc>
          <w:tcPr>
            <w:tcW w:w="1800" w:type="dxa"/>
            <w:vAlign w:val="bottom"/>
            <w:tcBorders>
              <w:right w:val="single" w:sz="8" w:color="1077A9"/>
            </w:tcBorders>
            <w:shd w:val="clear" w:color="auto" w:fill="1077A9"/>
          </w:tcPr>
          <w:p>
            <w:pPr>
              <w:spacing w:after="0"/>
              <w:rPr>
                <w:sz w:val="8"/>
                <w:szCs w:val="8"/>
                <w:color w:val="auto"/>
              </w:rPr>
            </w:pPr>
          </w:p>
        </w:tc>
        <w:tc>
          <w:tcPr>
            <w:tcW w:w="1800" w:type="dxa"/>
            <w:vAlign w:val="bottom"/>
            <w:tcBorders>
              <w:right w:val="single" w:sz="8" w:color="1077A9"/>
            </w:tcBorders>
            <w:vMerge w:val="restart"/>
            <w:shd w:val="clear" w:color="auto" w:fill="1077A9"/>
          </w:tcPr>
          <w:p>
            <w:pPr>
              <w:jc w:val="center"/>
              <w:spacing w:after="0" w:line="202" w:lineRule="exact"/>
              <w:rPr>
                <w:sz w:val="20"/>
                <w:szCs w:val="20"/>
                <w:color w:val="auto"/>
              </w:rPr>
            </w:pPr>
            <w:r>
              <w:rPr>
                <w:rFonts w:ascii="Arial" w:cs="Arial" w:eastAsia="Arial" w:hAnsi="Arial"/>
                <w:sz w:val="18"/>
                <w:szCs w:val="18"/>
                <w:color w:val="FFFFFF"/>
                <w:w w:val="99"/>
              </w:rPr>
              <w:t>Executive</w:t>
            </w:r>
          </w:p>
        </w:tc>
        <w:tc>
          <w:tcPr>
            <w:tcW w:w="1780" w:type="dxa"/>
            <w:vAlign w:val="bottom"/>
            <w:tcBorders>
              <w:right w:val="single" w:sz="8" w:color="1077A9"/>
            </w:tcBorders>
            <w:vMerge w:val="restart"/>
            <w:shd w:val="clear" w:color="auto" w:fill="1077A9"/>
          </w:tcPr>
          <w:p>
            <w:pPr>
              <w:jc w:val="center"/>
              <w:spacing w:after="0" w:line="202" w:lineRule="exact"/>
              <w:rPr>
                <w:sz w:val="20"/>
                <w:szCs w:val="20"/>
                <w:color w:val="auto"/>
              </w:rPr>
            </w:pPr>
            <w:r>
              <w:rPr>
                <w:rFonts w:ascii="Arial" w:cs="Arial" w:eastAsia="Arial" w:hAnsi="Arial"/>
                <w:sz w:val="18"/>
                <w:szCs w:val="18"/>
                <w:color w:val="FFFFFF"/>
                <w:w w:val="99"/>
              </w:rPr>
              <w:t>and Corporate</w:t>
            </w:r>
          </w:p>
        </w:tc>
        <w:tc>
          <w:tcPr>
            <w:tcW w:w="1800" w:type="dxa"/>
            <w:vAlign w:val="bottom"/>
            <w:tcBorders>
              <w:right w:val="single" w:sz="8" w:color="1077A9"/>
            </w:tcBorders>
            <w:shd w:val="clear" w:color="auto" w:fill="1077A9"/>
          </w:tcPr>
          <w:p>
            <w:pPr>
              <w:spacing w:after="0"/>
              <w:rPr>
                <w:sz w:val="8"/>
                <w:szCs w:val="8"/>
                <w:color w:val="auto"/>
              </w:rPr>
            </w:pPr>
          </w:p>
        </w:tc>
        <w:tc>
          <w:tcPr>
            <w:tcW w:w="1780" w:type="dxa"/>
            <w:vAlign w:val="bottom"/>
            <w:vMerge w:val="continue"/>
            <w:shd w:val="clear" w:color="auto" w:fill="1077A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20" w:type="dxa"/>
            <w:vAlign w:val="bottom"/>
            <w:tcBorders>
              <w:right w:val="single" w:sz="8" w:color="1077A9"/>
            </w:tcBorders>
            <w:shd w:val="clear" w:color="auto" w:fill="1077A9"/>
          </w:tcPr>
          <w:p>
            <w:pPr>
              <w:spacing w:after="0"/>
              <w:rPr>
                <w:sz w:val="9"/>
                <w:szCs w:val="9"/>
                <w:color w:val="auto"/>
              </w:rPr>
            </w:pPr>
          </w:p>
        </w:tc>
        <w:tc>
          <w:tcPr>
            <w:tcW w:w="260" w:type="dxa"/>
            <w:vAlign w:val="bottom"/>
            <w:tcBorders>
              <w:right w:val="single" w:sz="8" w:color="1077A9"/>
            </w:tcBorders>
            <w:shd w:val="clear" w:color="auto" w:fill="1077A9"/>
          </w:tcPr>
          <w:p>
            <w:pPr>
              <w:spacing w:after="0"/>
              <w:rPr>
                <w:sz w:val="9"/>
                <w:szCs w:val="9"/>
                <w:color w:val="auto"/>
              </w:rPr>
            </w:pPr>
          </w:p>
        </w:tc>
        <w:tc>
          <w:tcPr>
            <w:tcW w:w="1800" w:type="dxa"/>
            <w:vAlign w:val="bottom"/>
            <w:tcBorders>
              <w:right w:val="single" w:sz="8" w:color="1077A9"/>
            </w:tcBorders>
            <w:vMerge w:val="restart"/>
            <w:shd w:val="clear" w:color="auto" w:fill="1077A9"/>
          </w:tcPr>
          <w:p>
            <w:pPr>
              <w:jc w:val="center"/>
              <w:spacing w:after="0" w:line="202" w:lineRule="exact"/>
              <w:rPr>
                <w:sz w:val="20"/>
                <w:szCs w:val="20"/>
                <w:color w:val="auto"/>
              </w:rPr>
            </w:pPr>
            <w:r>
              <w:rPr>
                <w:rFonts w:ascii="Arial" w:cs="Arial" w:eastAsia="Arial" w:hAnsi="Arial"/>
                <w:sz w:val="18"/>
                <w:szCs w:val="18"/>
                <w:color w:val="FFFFFF"/>
              </w:rPr>
              <w:t>Audit Committee</w:t>
            </w:r>
          </w:p>
        </w:tc>
        <w:tc>
          <w:tcPr>
            <w:tcW w:w="1800" w:type="dxa"/>
            <w:vAlign w:val="bottom"/>
            <w:tcBorders>
              <w:right w:val="single" w:sz="8" w:color="1077A9"/>
            </w:tcBorders>
            <w:vMerge w:val="continue"/>
            <w:shd w:val="clear" w:color="auto" w:fill="1077A9"/>
          </w:tcPr>
          <w:p>
            <w:pPr>
              <w:spacing w:after="0"/>
              <w:rPr>
                <w:sz w:val="9"/>
                <w:szCs w:val="9"/>
                <w:color w:val="auto"/>
              </w:rPr>
            </w:pPr>
          </w:p>
        </w:tc>
        <w:tc>
          <w:tcPr>
            <w:tcW w:w="1780" w:type="dxa"/>
            <w:vAlign w:val="bottom"/>
            <w:tcBorders>
              <w:right w:val="single" w:sz="8" w:color="1077A9"/>
            </w:tcBorders>
            <w:vMerge w:val="continue"/>
            <w:shd w:val="clear" w:color="auto" w:fill="1077A9"/>
          </w:tcPr>
          <w:p>
            <w:pPr>
              <w:spacing w:after="0"/>
              <w:rPr>
                <w:sz w:val="9"/>
                <w:szCs w:val="9"/>
                <w:color w:val="auto"/>
              </w:rPr>
            </w:pPr>
          </w:p>
        </w:tc>
        <w:tc>
          <w:tcPr>
            <w:tcW w:w="1800" w:type="dxa"/>
            <w:vAlign w:val="bottom"/>
            <w:tcBorders>
              <w:right w:val="single" w:sz="8" w:color="1077A9"/>
            </w:tcBorders>
            <w:vMerge w:val="restart"/>
            <w:shd w:val="clear" w:color="auto" w:fill="1077A9"/>
          </w:tcPr>
          <w:p>
            <w:pPr>
              <w:jc w:val="center"/>
              <w:spacing w:after="0" w:line="202" w:lineRule="exact"/>
              <w:rPr>
                <w:sz w:val="20"/>
                <w:szCs w:val="20"/>
                <w:color w:val="auto"/>
              </w:rPr>
            </w:pPr>
            <w:r>
              <w:rPr>
                <w:rFonts w:ascii="Arial" w:cs="Arial" w:eastAsia="Arial" w:hAnsi="Arial"/>
                <w:sz w:val="18"/>
                <w:szCs w:val="18"/>
                <w:color w:val="FFFFFF"/>
                <w:w w:val="99"/>
              </w:rPr>
              <w:t>Risk Committee</w:t>
            </w:r>
          </w:p>
        </w:tc>
        <w:tc>
          <w:tcPr>
            <w:tcW w:w="1780" w:type="dxa"/>
            <w:vAlign w:val="bottom"/>
            <w:vMerge w:val="restart"/>
            <w:shd w:val="clear" w:color="auto" w:fill="1077A9"/>
          </w:tcPr>
          <w:p>
            <w:pPr>
              <w:jc w:val="center"/>
              <w:spacing w:after="0" w:line="202" w:lineRule="exact"/>
              <w:rPr>
                <w:sz w:val="20"/>
                <w:szCs w:val="20"/>
                <w:color w:val="auto"/>
              </w:rPr>
            </w:pPr>
            <w:r>
              <w:rPr>
                <w:rFonts w:ascii="Arial" w:cs="Arial" w:eastAsia="Arial" w:hAnsi="Arial"/>
                <w:sz w:val="18"/>
                <w:szCs w:val="18"/>
                <w:color w:val="FFFFFF"/>
                <w:w w:val="99"/>
              </w:rPr>
              <w:t>Compensation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20" w:type="dxa"/>
            <w:vAlign w:val="bottom"/>
            <w:tcBorders>
              <w:right w:val="single" w:sz="8" w:color="1077A9"/>
            </w:tcBorders>
            <w:shd w:val="clear" w:color="auto" w:fill="1077A9"/>
          </w:tcPr>
          <w:p>
            <w:pPr>
              <w:spacing w:after="0"/>
              <w:rPr>
                <w:sz w:val="8"/>
                <w:szCs w:val="8"/>
                <w:color w:val="auto"/>
              </w:rPr>
            </w:pPr>
          </w:p>
        </w:tc>
        <w:tc>
          <w:tcPr>
            <w:tcW w:w="260" w:type="dxa"/>
            <w:vAlign w:val="bottom"/>
            <w:tcBorders>
              <w:right w:val="single" w:sz="8" w:color="1077A9"/>
            </w:tcBorders>
            <w:shd w:val="clear" w:color="auto" w:fill="1077A9"/>
          </w:tcPr>
          <w:p>
            <w:pPr>
              <w:spacing w:after="0"/>
              <w:rPr>
                <w:sz w:val="8"/>
                <w:szCs w:val="8"/>
                <w:color w:val="auto"/>
              </w:rPr>
            </w:pPr>
          </w:p>
        </w:tc>
        <w:tc>
          <w:tcPr>
            <w:tcW w:w="1800" w:type="dxa"/>
            <w:vAlign w:val="bottom"/>
            <w:tcBorders>
              <w:right w:val="single" w:sz="8" w:color="1077A9"/>
            </w:tcBorders>
            <w:vMerge w:val="continue"/>
            <w:shd w:val="clear" w:color="auto" w:fill="1077A9"/>
          </w:tcPr>
          <w:p>
            <w:pPr>
              <w:spacing w:after="0"/>
              <w:rPr>
                <w:sz w:val="8"/>
                <w:szCs w:val="8"/>
                <w:color w:val="auto"/>
              </w:rPr>
            </w:pPr>
          </w:p>
        </w:tc>
        <w:tc>
          <w:tcPr>
            <w:tcW w:w="1800" w:type="dxa"/>
            <w:vAlign w:val="bottom"/>
            <w:tcBorders>
              <w:right w:val="single" w:sz="8" w:color="1077A9"/>
            </w:tcBorders>
            <w:vMerge w:val="restart"/>
            <w:shd w:val="clear" w:color="auto" w:fill="1077A9"/>
          </w:tcPr>
          <w:p>
            <w:pPr>
              <w:jc w:val="center"/>
              <w:spacing w:after="0" w:line="202" w:lineRule="exact"/>
              <w:rPr>
                <w:sz w:val="20"/>
                <w:szCs w:val="20"/>
                <w:color w:val="auto"/>
              </w:rPr>
            </w:pPr>
            <w:r>
              <w:rPr>
                <w:rFonts w:ascii="Arial" w:cs="Arial" w:eastAsia="Arial" w:hAnsi="Arial"/>
                <w:sz w:val="18"/>
                <w:szCs w:val="18"/>
                <w:color w:val="FFFFFF"/>
              </w:rPr>
              <w:t>Committee</w:t>
            </w:r>
          </w:p>
        </w:tc>
        <w:tc>
          <w:tcPr>
            <w:tcW w:w="1780" w:type="dxa"/>
            <w:vAlign w:val="bottom"/>
            <w:tcBorders>
              <w:right w:val="single" w:sz="8" w:color="1077A9"/>
            </w:tcBorders>
            <w:vMerge w:val="restart"/>
            <w:shd w:val="clear" w:color="auto" w:fill="1077A9"/>
          </w:tcPr>
          <w:p>
            <w:pPr>
              <w:jc w:val="center"/>
              <w:spacing w:after="0" w:line="202" w:lineRule="exact"/>
              <w:rPr>
                <w:sz w:val="20"/>
                <w:szCs w:val="20"/>
                <w:color w:val="auto"/>
              </w:rPr>
            </w:pPr>
            <w:r>
              <w:rPr>
                <w:rFonts w:ascii="Arial" w:cs="Arial" w:eastAsia="Arial" w:hAnsi="Arial"/>
                <w:sz w:val="18"/>
                <w:szCs w:val="18"/>
                <w:color w:val="FFFFFF"/>
                <w:w w:val="99"/>
              </w:rPr>
              <w:t>Governance</w:t>
            </w:r>
          </w:p>
        </w:tc>
        <w:tc>
          <w:tcPr>
            <w:tcW w:w="1800" w:type="dxa"/>
            <w:vAlign w:val="bottom"/>
            <w:tcBorders>
              <w:right w:val="single" w:sz="8" w:color="1077A9"/>
            </w:tcBorders>
            <w:vMerge w:val="continue"/>
            <w:shd w:val="clear" w:color="auto" w:fill="1077A9"/>
          </w:tcPr>
          <w:p>
            <w:pPr>
              <w:spacing w:after="0"/>
              <w:rPr>
                <w:sz w:val="8"/>
                <w:szCs w:val="8"/>
                <w:color w:val="auto"/>
              </w:rPr>
            </w:pPr>
          </w:p>
        </w:tc>
        <w:tc>
          <w:tcPr>
            <w:tcW w:w="1780" w:type="dxa"/>
            <w:vAlign w:val="bottom"/>
            <w:vMerge w:val="continue"/>
            <w:shd w:val="clear" w:color="auto" w:fill="1077A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20" w:type="dxa"/>
            <w:vAlign w:val="bottom"/>
            <w:tcBorders>
              <w:right w:val="single" w:sz="8" w:color="1077A9"/>
            </w:tcBorders>
            <w:shd w:val="clear" w:color="auto" w:fill="1077A9"/>
          </w:tcPr>
          <w:p>
            <w:pPr>
              <w:spacing w:after="0"/>
              <w:rPr>
                <w:sz w:val="9"/>
                <w:szCs w:val="9"/>
                <w:color w:val="auto"/>
              </w:rPr>
            </w:pPr>
          </w:p>
        </w:tc>
        <w:tc>
          <w:tcPr>
            <w:tcW w:w="260" w:type="dxa"/>
            <w:vAlign w:val="bottom"/>
            <w:tcBorders>
              <w:right w:val="single" w:sz="8" w:color="1077A9"/>
            </w:tcBorders>
            <w:shd w:val="clear" w:color="auto" w:fill="1077A9"/>
          </w:tcPr>
          <w:p>
            <w:pPr>
              <w:spacing w:after="0"/>
              <w:rPr>
                <w:sz w:val="9"/>
                <w:szCs w:val="9"/>
                <w:color w:val="auto"/>
              </w:rPr>
            </w:pPr>
          </w:p>
        </w:tc>
        <w:tc>
          <w:tcPr>
            <w:tcW w:w="1800" w:type="dxa"/>
            <w:vAlign w:val="bottom"/>
            <w:tcBorders>
              <w:right w:val="single" w:sz="8" w:color="1077A9"/>
            </w:tcBorders>
            <w:shd w:val="clear" w:color="auto" w:fill="1077A9"/>
          </w:tcPr>
          <w:p>
            <w:pPr>
              <w:spacing w:after="0"/>
              <w:rPr>
                <w:sz w:val="9"/>
                <w:szCs w:val="9"/>
                <w:color w:val="auto"/>
              </w:rPr>
            </w:pPr>
          </w:p>
        </w:tc>
        <w:tc>
          <w:tcPr>
            <w:tcW w:w="1800" w:type="dxa"/>
            <w:vAlign w:val="bottom"/>
            <w:tcBorders>
              <w:right w:val="single" w:sz="8" w:color="1077A9"/>
            </w:tcBorders>
            <w:vMerge w:val="continue"/>
            <w:shd w:val="clear" w:color="auto" w:fill="1077A9"/>
          </w:tcPr>
          <w:p>
            <w:pPr>
              <w:spacing w:after="0"/>
              <w:rPr>
                <w:sz w:val="9"/>
                <w:szCs w:val="9"/>
                <w:color w:val="auto"/>
              </w:rPr>
            </w:pPr>
          </w:p>
        </w:tc>
        <w:tc>
          <w:tcPr>
            <w:tcW w:w="1780" w:type="dxa"/>
            <w:vAlign w:val="bottom"/>
            <w:tcBorders>
              <w:right w:val="single" w:sz="8" w:color="1077A9"/>
            </w:tcBorders>
            <w:vMerge w:val="continue"/>
            <w:shd w:val="clear" w:color="auto" w:fill="1077A9"/>
          </w:tcPr>
          <w:p>
            <w:pPr>
              <w:spacing w:after="0"/>
              <w:rPr>
                <w:sz w:val="9"/>
                <w:szCs w:val="9"/>
                <w:color w:val="auto"/>
              </w:rPr>
            </w:pPr>
          </w:p>
        </w:tc>
        <w:tc>
          <w:tcPr>
            <w:tcW w:w="1800" w:type="dxa"/>
            <w:vAlign w:val="bottom"/>
            <w:tcBorders>
              <w:right w:val="single" w:sz="8" w:color="1077A9"/>
            </w:tcBorders>
            <w:shd w:val="clear" w:color="auto" w:fill="1077A9"/>
          </w:tcPr>
          <w:p>
            <w:pPr>
              <w:spacing w:after="0"/>
              <w:rPr>
                <w:sz w:val="9"/>
                <w:szCs w:val="9"/>
                <w:color w:val="auto"/>
              </w:rPr>
            </w:pPr>
          </w:p>
        </w:tc>
        <w:tc>
          <w:tcPr>
            <w:tcW w:w="1780" w:type="dxa"/>
            <w:vAlign w:val="bottom"/>
            <w:vMerge w:val="restart"/>
            <w:shd w:val="clear" w:color="auto" w:fill="1077A9"/>
          </w:tcPr>
          <w:p>
            <w:pPr>
              <w:jc w:val="center"/>
              <w:spacing w:after="0"/>
              <w:rPr>
                <w:sz w:val="20"/>
                <w:szCs w:val="20"/>
                <w:color w:val="auto"/>
              </w:rPr>
            </w:pPr>
            <w:r>
              <w:rPr>
                <w:rFonts w:ascii="Arial" w:cs="Arial" w:eastAsia="Arial" w:hAnsi="Arial"/>
                <w:sz w:val="18"/>
                <w:szCs w:val="18"/>
                <w:color w:val="FFFFFF"/>
                <w:w w:val="98"/>
              </w:rPr>
              <w:t>Committee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20" w:type="dxa"/>
            <w:vAlign w:val="bottom"/>
            <w:tcBorders>
              <w:right w:val="single" w:sz="8" w:color="1077A9"/>
            </w:tcBorders>
            <w:shd w:val="clear" w:color="auto" w:fill="1077A9"/>
          </w:tcPr>
          <w:p>
            <w:pPr>
              <w:spacing w:after="0"/>
              <w:rPr>
                <w:sz w:val="9"/>
                <w:szCs w:val="9"/>
                <w:color w:val="auto"/>
              </w:rPr>
            </w:pPr>
          </w:p>
        </w:tc>
        <w:tc>
          <w:tcPr>
            <w:tcW w:w="260" w:type="dxa"/>
            <w:vAlign w:val="bottom"/>
            <w:tcBorders>
              <w:right w:val="single" w:sz="8" w:color="1077A9"/>
            </w:tcBorders>
            <w:shd w:val="clear" w:color="auto" w:fill="1077A9"/>
          </w:tcPr>
          <w:p>
            <w:pPr>
              <w:spacing w:after="0"/>
              <w:rPr>
                <w:sz w:val="9"/>
                <w:szCs w:val="9"/>
                <w:color w:val="auto"/>
              </w:rPr>
            </w:pPr>
          </w:p>
        </w:tc>
        <w:tc>
          <w:tcPr>
            <w:tcW w:w="1800" w:type="dxa"/>
            <w:vAlign w:val="bottom"/>
            <w:tcBorders>
              <w:right w:val="single" w:sz="8" w:color="1077A9"/>
            </w:tcBorders>
            <w:shd w:val="clear" w:color="auto" w:fill="1077A9"/>
          </w:tcPr>
          <w:p>
            <w:pPr>
              <w:spacing w:after="0"/>
              <w:rPr>
                <w:sz w:val="9"/>
                <w:szCs w:val="9"/>
                <w:color w:val="auto"/>
              </w:rPr>
            </w:pPr>
          </w:p>
        </w:tc>
        <w:tc>
          <w:tcPr>
            <w:tcW w:w="1800" w:type="dxa"/>
            <w:vAlign w:val="bottom"/>
            <w:tcBorders>
              <w:right w:val="single" w:sz="8" w:color="1077A9"/>
            </w:tcBorders>
            <w:shd w:val="clear" w:color="auto" w:fill="1077A9"/>
          </w:tcPr>
          <w:p>
            <w:pPr>
              <w:spacing w:after="0"/>
              <w:rPr>
                <w:sz w:val="9"/>
                <w:szCs w:val="9"/>
                <w:color w:val="auto"/>
              </w:rPr>
            </w:pPr>
          </w:p>
        </w:tc>
        <w:tc>
          <w:tcPr>
            <w:tcW w:w="1780" w:type="dxa"/>
            <w:vAlign w:val="bottom"/>
            <w:tcBorders>
              <w:right w:val="single" w:sz="8" w:color="1077A9"/>
            </w:tcBorders>
            <w:vMerge w:val="restart"/>
            <w:shd w:val="clear" w:color="auto" w:fill="1077A9"/>
          </w:tcPr>
          <w:p>
            <w:pPr>
              <w:jc w:val="center"/>
              <w:spacing w:after="0" w:line="203" w:lineRule="exact"/>
              <w:rPr>
                <w:sz w:val="20"/>
                <w:szCs w:val="20"/>
                <w:color w:val="auto"/>
              </w:rPr>
            </w:pPr>
            <w:r>
              <w:rPr>
                <w:rFonts w:ascii="Arial" w:cs="Arial" w:eastAsia="Arial" w:hAnsi="Arial"/>
                <w:sz w:val="18"/>
                <w:szCs w:val="18"/>
                <w:color w:val="FFFFFF"/>
              </w:rPr>
              <w:t>Committee</w:t>
            </w:r>
          </w:p>
        </w:tc>
        <w:tc>
          <w:tcPr>
            <w:tcW w:w="1800" w:type="dxa"/>
            <w:vAlign w:val="bottom"/>
            <w:tcBorders>
              <w:right w:val="single" w:sz="8" w:color="1077A9"/>
            </w:tcBorders>
            <w:shd w:val="clear" w:color="auto" w:fill="1077A9"/>
          </w:tcPr>
          <w:p>
            <w:pPr>
              <w:spacing w:after="0"/>
              <w:rPr>
                <w:sz w:val="9"/>
                <w:szCs w:val="9"/>
                <w:color w:val="auto"/>
              </w:rPr>
            </w:pPr>
          </w:p>
        </w:tc>
        <w:tc>
          <w:tcPr>
            <w:tcW w:w="1780" w:type="dxa"/>
            <w:vAlign w:val="bottom"/>
            <w:vMerge w:val="continue"/>
            <w:shd w:val="clear" w:color="auto" w:fill="1077A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20" w:type="dxa"/>
            <w:vAlign w:val="bottom"/>
            <w:tcBorders>
              <w:right w:val="single" w:sz="8" w:color="1077A9"/>
            </w:tcBorders>
            <w:shd w:val="clear" w:color="auto" w:fill="1077A9"/>
          </w:tcPr>
          <w:p>
            <w:pPr>
              <w:spacing w:after="0"/>
              <w:rPr>
                <w:sz w:val="8"/>
                <w:szCs w:val="8"/>
                <w:color w:val="auto"/>
              </w:rPr>
            </w:pPr>
          </w:p>
        </w:tc>
        <w:tc>
          <w:tcPr>
            <w:tcW w:w="260" w:type="dxa"/>
            <w:vAlign w:val="bottom"/>
            <w:tcBorders>
              <w:right w:val="single" w:sz="8" w:color="1077A9"/>
            </w:tcBorders>
            <w:shd w:val="clear" w:color="auto" w:fill="1077A9"/>
          </w:tcPr>
          <w:p>
            <w:pPr>
              <w:spacing w:after="0"/>
              <w:rPr>
                <w:sz w:val="8"/>
                <w:szCs w:val="8"/>
                <w:color w:val="auto"/>
              </w:rPr>
            </w:pPr>
          </w:p>
        </w:tc>
        <w:tc>
          <w:tcPr>
            <w:tcW w:w="1800" w:type="dxa"/>
            <w:vAlign w:val="bottom"/>
            <w:tcBorders>
              <w:right w:val="single" w:sz="8" w:color="1077A9"/>
            </w:tcBorders>
            <w:shd w:val="clear" w:color="auto" w:fill="1077A9"/>
          </w:tcPr>
          <w:p>
            <w:pPr>
              <w:spacing w:after="0"/>
              <w:rPr>
                <w:sz w:val="8"/>
                <w:szCs w:val="8"/>
                <w:color w:val="auto"/>
              </w:rPr>
            </w:pPr>
          </w:p>
        </w:tc>
        <w:tc>
          <w:tcPr>
            <w:tcW w:w="1800" w:type="dxa"/>
            <w:vAlign w:val="bottom"/>
            <w:tcBorders>
              <w:right w:val="single" w:sz="8" w:color="1077A9"/>
            </w:tcBorders>
            <w:shd w:val="clear" w:color="auto" w:fill="1077A9"/>
          </w:tcPr>
          <w:p>
            <w:pPr>
              <w:spacing w:after="0"/>
              <w:rPr>
                <w:sz w:val="8"/>
                <w:szCs w:val="8"/>
                <w:color w:val="auto"/>
              </w:rPr>
            </w:pPr>
          </w:p>
        </w:tc>
        <w:tc>
          <w:tcPr>
            <w:tcW w:w="1780" w:type="dxa"/>
            <w:vAlign w:val="bottom"/>
            <w:tcBorders>
              <w:right w:val="single" w:sz="8" w:color="1077A9"/>
            </w:tcBorders>
            <w:vMerge w:val="continue"/>
            <w:shd w:val="clear" w:color="auto" w:fill="1077A9"/>
          </w:tcPr>
          <w:p>
            <w:pPr>
              <w:spacing w:after="0"/>
              <w:rPr>
                <w:sz w:val="8"/>
                <w:szCs w:val="8"/>
                <w:color w:val="auto"/>
              </w:rPr>
            </w:pPr>
          </w:p>
        </w:tc>
        <w:tc>
          <w:tcPr>
            <w:tcW w:w="1800" w:type="dxa"/>
            <w:vAlign w:val="bottom"/>
            <w:tcBorders>
              <w:right w:val="single" w:sz="8" w:color="1077A9"/>
            </w:tcBorders>
            <w:shd w:val="clear" w:color="auto" w:fill="1077A9"/>
          </w:tcPr>
          <w:p>
            <w:pPr>
              <w:spacing w:after="0"/>
              <w:rPr>
                <w:sz w:val="8"/>
                <w:szCs w:val="8"/>
                <w:color w:val="auto"/>
              </w:rPr>
            </w:pPr>
          </w:p>
        </w:tc>
        <w:tc>
          <w:tcPr>
            <w:tcW w:w="1780" w:type="dxa"/>
            <w:vAlign w:val="bottom"/>
            <w:shd w:val="clear" w:color="auto" w:fill="1077A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020" w:type="dxa"/>
            <w:vAlign w:val="bottom"/>
            <w:tcBorders>
              <w:right w:val="single" w:sz="8" w:color="E5E6E6"/>
            </w:tcBorders>
          </w:tcPr>
          <w:p>
            <w:pPr>
              <w:ind w:left="100"/>
              <w:spacing w:after="0"/>
              <w:rPr>
                <w:sz w:val="20"/>
                <w:szCs w:val="20"/>
                <w:color w:val="auto"/>
              </w:rPr>
            </w:pPr>
            <w:r>
              <w:rPr>
                <w:rFonts w:ascii="Arial" w:cs="Arial" w:eastAsia="Arial" w:hAnsi="Arial"/>
                <w:sz w:val="18"/>
                <w:szCs w:val="18"/>
                <w:color w:val="auto"/>
              </w:rPr>
              <w:t>Robert H. Blalock</w:t>
            </w:r>
          </w:p>
        </w:tc>
        <w:tc>
          <w:tcPr>
            <w:tcW w:w="260" w:type="dxa"/>
            <w:vAlign w:val="bottom"/>
            <w:tcBorders>
              <w:right w:val="single" w:sz="8" w:color="E5E6E6"/>
            </w:tcBorders>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w w:val="93"/>
              </w:rPr>
              <w:t>M</w:t>
            </w:r>
          </w:p>
        </w:tc>
        <w:tc>
          <w:tcPr>
            <w:tcW w:w="1800" w:type="dxa"/>
            <w:vAlign w:val="bottom"/>
            <w:tcBorders>
              <w:right w:val="single" w:sz="8" w:color="E5E6E6"/>
            </w:tcBorders>
          </w:tcPr>
          <w:p>
            <w:pPr>
              <w:spacing w:after="0"/>
              <w:rPr>
                <w:sz w:val="24"/>
                <w:szCs w:val="24"/>
                <w:color w:val="auto"/>
              </w:rPr>
            </w:pPr>
          </w:p>
        </w:tc>
        <w:tc>
          <w:tcPr>
            <w:tcW w:w="1780" w:type="dxa"/>
            <w:vAlign w:val="bottom"/>
            <w:tcBorders>
              <w:right w:val="single" w:sz="8" w:color="E5E6E6"/>
            </w:tcBorders>
          </w:tcPr>
          <w:p>
            <w:pPr>
              <w:spacing w:after="0"/>
              <w:rPr>
                <w:sz w:val="24"/>
                <w:szCs w:val="24"/>
                <w:color w:val="auto"/>
              </w:rPr>
            </w:pPr>
          </w:p>
        </w:tc>
        <w:tc>
          <w:tcPr>
            <w:tcW w:w="180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w w:val="93"/>
              </w:rPr>
              <w:t>M</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20" w:type="dxa"/>
            <w:vAlign w:val="bottom"/>
            <w:tcBorders>
              <w:right w:val="single" w:sz="8" w:color="E5E6E6"/>
            </w:tcBorders>
          </w:tcPr>
          <w:p>
            <w:pPr>
              <w:spacing w:after="0"/>
              <w:rPr>
                <w:sz w:val="4"/>
                <w:szCs w:val="4"/>
                <w:color w:val="auto"/>
              </w:rPr>
            </w:pPr>
          </w:p>
        </w:tc>
        <w:tc>
          <w:tcPr>
            <w:tcW w:w="26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02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8"/>
                <w:szCs w:val="18"/>
                <w:color w:val="auto"/>
              </w:rPr>
              <w:t xml:space="preserve">James P. Clements </w:t>
            </w:r>
            <w:r>
              <w:rPr>
                <w:rFonts w:ascii="Arial" w:cs="Arial" w:eastAsia="Arial" w:hAnsi="Arial"/>
                <w:sz w:val="29"/>
                <w:szCs w:val="29"/>
                <w:color w:val="auto"/>
                <w:vertAlign w:val="superscript"/>
              </w:rPr>
              <w:t>+</w:t>
            </w:r>
          </w:p>
        </w:tc>
        <w:tc>
          <w:tcPr>
            <w:tcW w:w="26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right w:val="single" w:sz="8" w:color="E5E6E6"/>
            </w:tcBorders>
            <w:shd w:val="clear" w:color="auto" w:fill="E5E6E6"/>
          </w:tcPr>
          <w:p>
            <w:pPr>
              <w:spacing w:after="0"/>
              <w:rPr>
                <w:sz w:val="24"/>
                <w:szCs w:val="24"/>
                <w:color w:val="auto"/>
              </w:rPr>
            </w:pPr>
          </w:p>
        </w:tc>
        <w:tc>
          <w:tcPr>
            <w:tcW w:w="1800" w:type="dxa"/>
            <w:vAlign w:val="bottom"/>
            <w:tcBorders>
              <w:right w:val="single" w:sz="8" w:color="E5E6E6"/>
            </w:tcBorders>
            <w:shd w:val="clear" w:color="auto" w:fill="E5E6E6"/>
          </w:tcPr>
          <w:p>
            <w:pPr>
              <w:spacing w:after="0"/>
              <w:rPr>
                <w:sz w:val="24"/>
                <w:szCs w:val="24"/>
                <w:color w:val="auto"/>
              </w:rPr>
            </w:pPr>
          </w:p>
        </w:tc>
        <w:tc>
          <w:tcPr>
            <w:tcW w:w="1780" w:type="dxa"/>
            <w:vAlign w:val="bottom"/>
            <w:tcBorders>
              <w:right w:val="single" w:sz="8" w:color="E5E6E6"/>
            </w:tcBorders>
            <w:shd w:val="clear" w:color="auto" w:fill="E5E6E6"/>
          </w:tcPr>
          <w:p>
            <w:pPr>
              <w:spacing w:after="0"/>
              <w:rPr>
                <w:sz w:val="24"/>
                <w:szCs w:val="24"/>
                <w:color w:val="auto"/>
              </w:rPr>
            </w:pPr>
          </w:p>
        </w:tc>
        <w:tc>
          <w:tcPr>
            <w:tcW w:w="1800" w:type="dxa"/>
            <w:vAlign w:val="bottom"/>
            <w:tcBorders>
              <w:right w:val="single" w:sz="8" w:color="E5E6E6"/>
            </w:tcBorders>
            <w:shd w:val="clear" w:color="auto" w:fill="E5E6E6"/>
          </w:tcPr>
          <w:p>
            <w:pPr>
              <w:spacing w:after="0"/>
              <w:rPr>
                <w:sz w:val="24"/>
                <w:szCs w:val="24"/>
                <w:color w:val="auto"/>
              </w:rPr>
            </w:pPr>
          </w:p>
        </w:tc>
        <w:tc>
          <w:tcPr>
            <w:tcW w:w="1780" w:type="dxa"/>
            <w:vAlign w:val="bottom"/>
            <w:shd w:val="clear" w:color="auto" w:fill="E5E6E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20" w:type="dxa"/>
            <w:vAlign w:val="bottom"/>
            <w:tcBorders>
              <w:right w:val="single" w:sz="8" w:color="E5E6E6"/>
            </w:tcBorders>
          </w:tcPr>
          <w:p>
            <w:pPr>
              <w:ind w:left="100"/>
              <w:spacing w:after="0"/>
              <w:rPr>
                <w:sz w:val="20"/>
                <w:szCs w:val="20"/>
                <w:color w:val="auto"/>
              </w:rPr>
            </w:pPr>
            <w:r>
              <w:rPr>
                <w:rFonts w:ascii="Arial" w:cs="Arial" w:eastAsia="Arial" w:hAnsi="Arial"/>
                <w:sz w:val="18"/>
                <w:szCs w:val="18"/>
                <w:color w:val="auto"/>
              </w:rPr>
              <w:t>L. Cathy Cox</w:t>
            </w:r>
          </w:p>
        </w:tc>
        <w:tc>
          <w:tcPr>
            <w:tcW w:w="260" w:type="dxa"/>
            <w:vAlign w:val="bottom"/>
            <w:tcBorders>
              <w:right w:val="single" w:sz="8" w:color="E5E6E6"/>
            </w:tcBorders>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right w:val="single" w:sz="8" w:color="E5E6E6"/>
            </w:tcBorders>
          </w:tcPr>
          <w:p>
            <w:pPr>
              <w:spacing w:after="0"/>
              <w:rPr>
                <w:sz w:val="24"/>
                <w:szCs w:val="24"/>
                <w:color w:val="auto"/>
              </w:rPr>
            </w:pPr>
          </w:p>
        </w:tc>
        <w:tc>
          <w:tcPr>
            <w:tcW w:w="180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rPr>
              <w:t>M</w:t>
            </w:r>
          </w:p>
        </w:tc>
        <w:tc>
          <w:tcPr>
            <w:tcW w:w="178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rPr>
              <w:t>M</w:t>
            </w:r>
          </w:p>
        </w:tc>
        <w:tc>
          <w:tcPr>
            <w:tcW w:w="180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w w:val="93"/>
              </w:rPr>
              <w:t>M</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20" w:type="dxa"/>
            <w:vAlign w:val="bottom"/>
            <w:tcBorders>
              <w:right w:val="single" w:sz="8" w:color="E5E6E6"/>
            </w:tcBorders>
          </w:tcPr>
          <w:p>
            <w:pPr>
              <w:spacing w:after="0"/>
              <w:rPr>
                <w:sz w:val="4"/>
                <w:szCs w:val="4"/>
                <w:color w:val="auto"/>
              </w:rPr>
            </w:pPr>
          </w:p>
        </w:tc>
        <w:tc>
          <w:tcPr>
            <w:tcW w:w="26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20" w:type="dxa"/>
            <w:vAlign w:val="bottom"/>
            <w:tcBorders>
              <w:bottom w:val="single" w:sz="8" w:color="E5E6E6"/>
              <w:right w:val="single" w:sz="8" w:color="E5E6E6"/>
            </w:tcBorders>
            <w:shd w:val="clear" w:color="auto" w:fill="E5E6E6"/>
          </w:tcPr>
          <w:p>
            <w:pPr>
              <w:ind w:left="100"/>
              <w:spacing w:after="0"/>
              <w:rPr>
                <w:sz w:val="20"/>
                <w:szCs w:val="20"/>
                <w:color w:val="auto"/>
              </w:rPr>
            </w:pPr>
            <w:r>
              <w:rPr>
                <w:rFonts w:ascii="Arial" w:cs="Arial" w:eastAsia="Arial" w:hAnsi="Arial"/>
                <w:sz w:val="18"/>
                <w:szCs w:val="18"/>
                <w:color w:val="auto"/>
              </w:rPr>
              <w:t>Kenneth L. Daniels</w:t>
            </w:r>
          </w:p>
        </w:tc>
        <w:tc>
          <w:tcPr>
            <w:tcW w:w="260" w:type="dxa"/>
            <w:vAlign w:val="bottom"/>
            <w:tcBorders>
              <w:bottom w:val="single" w:sz="8" w:color="E5E6E6"/>
              <w:right w:val="single" w:sz="8" w:color="E5E6E6"/>
            </w:tcBorders>
            <w:shd w:val="clear" w:color="auto" w:fill="E5E6E6"/>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bottom w:val="single" w:sz="8" w:color="E5E6E6"/>
              <w:right w:val="single" w:sz="8" w:color="E5E6E6"/>
            </w:tcBorders>
            <w:shd w:val="clear" w:color="auto" w:fill="E5E6E6"/>
          </w:tcPr>
          <w:p>
            <w:pPr>
              <w:jc w:val="center"/>
              <w:spacing w:after="0"/>
              <w:rPr>
                <w:sz w:val="20"/>
                <w:szCs w:val="20"/>
                <w:color w:val="auto"/>
              </w:rPr>
            </w:pPr>
            <w:r>
              <w:rPr>
                <w:rFonts w:ascii="Arial" w:cs="Arial" w:eastAsia="Arial" w:hAnsi="Arial"/>
                <w:sz w:val="18"/>
                <w:szCs w:val="18"/>
                <w:color w:val="auto"/>
                <w:w w:val="93"/>
              </w:rPr>
              <w:t>M</w:t>
            </w:r>
          </w:p>
        </w:tc>
        <w:tc>
          <w:tcPr>
            <w:tcW w:w="1800" w:type="dxa"/>
            <w:vAlign w:val="bottom"/>
            <w:tcBorders>
              <w:bottom w:val="single" w:sz="8" w:color="E5E6E6"/>
              <w:right w:val="single" w:sz="8" w:color="E5E6E6"/>
            </w:tcBorders>
            <w:shd w:val="clear" w:color="auto" w:fill="E5E6E6"/>
          </w:tcPr>
          <w:p>
            <w:pPr>
              <w:jc w:val="center"/>
              <w:spacing w:after="0"/>
              <w:rPr>
                <w:sz w:val="20"/>
                <w:szCs w:val="20"/>
                <w:color w:val="auto"/>
              </w:rPr>
            </w:pPr>
            <w:r>
              <w:rPr>
                <w:rFonts w:ascii="Arial" w:cs="Arial" w:eastAsia="Arial" w:hAnsi="Arial"/>
                <w:sz w:val="18"/>
                <w:szCs w:val="18"/>
                <w:color w:val="auto"/>
              </w:rPr>
              <w:t>M</w:t>
            </w:r>
          </w:p>
        </w:tc>
        <w:tc>
          <w:tcPr>
            <w:tcW w:w="1780" w:type="dxa"/>
            <w:vAlign w:val="bottom"/>
            <w:tcBorders>
              <w:bottom w:val="single" w:sz="8" w:color="E5E6E6"/>
              <w:right w:val="single" w:sz="8" w:color="E5E6E6"/>
            </w:tcBorders>
            <w:shd w:val="clear" w:color="auto" w:fill="E5E6E6"/>
          </w:tcPr>
          <w:p>
            <w:pPr>
              <w:spacing w:after="0"/>
              <w:rPr>
                <w:sz w:val="24"/>
                <w:szCs w:val="24"/>
                <w:color w:val="auto"/>
              </w:rPr>
            </w:pPr>
          </w:p>
        </w:tc>
        <w:tc>
          <w:tcPr>
            <w:tcW w:w="1800" w:type="dxa"/>
            <w:vAlign w:val="bottom"/>
            <w:tcBorders>
              <w:bottom w:val="single" w:sz="8" w:color="E5E6E6"/>
              <w:right w:val="single" w:sz="8" w:color="E5E6E6"/>
            </w:tcBorders>
            <w:shd w:val="clear" w:color="auto" w:fill="E5E6E6"/>
          </w:tcPr>
          <w:p>
            <w:pPr>
              <w:jc w:val="center"/>
              <w:spacing w:after="0"/>
              <w:rPr>
                <w:sz w:val="20"/>
                <w:szCs w:val="20"/>
                <w:color w:val="auto"/>
              </w:rPr>
            </w:pPr>
            <w:r>
              <w:rPr>
                <w:rFonts w:ascii="Arial" w:cs="Arial" w:eastAsia="Arial" w:hAnsi="Arial"/>
                <w:sz w:val="18"/>
                <w:szCs w:val="18"/>
                <w:color w:val="auto"/>
              </w:rPr>
              <w:t>C</w:t>
            </w:r>
          </w:p>
        </w:tc>
        <w:tc>
          <w:tcPr>
            <w:tcW w:w="1780" w:type="dxa"/>
            <w:vAlign w:val="bottom"/>
            <w:tcBorders>
              <w:bottom w:val="single" w:sz="8" w:color="E5E6E6"/>
            </w:tcBorders>
            <w:shd w:val="clear" w:color="auto" w:fill="E5E6E6"/>
          </w:tcPr>
          <w:p>
            <w:pPr>
              <w:jc w:val="center"/>
              <w:spacing w:after="0"/>
              <w:rPr>
                <w:sz w:val="20"/>
                <w:szCs w:val="20"/>
                <w:color w:val="auto"/>
              </w:rPr>
            </w:pPr>
            <w:r>
              <w:rPr>
                <w:rFonts w:ascii="Arial" w:cs="Arial" w:eastAsia="Arial" w:hAnsi="Arial"/>
                <w:sz w:val="18"/>
                <w:szCs w:val="18"/>
                <w:color w:val="auto"/>
                <w:w w:val="93"/>
              </w:rPr>
              <w:t>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20" w:type="dxa"/>
            <w:vAlign w:val="bottom"/>
            <w:tcBorders>
              <w:right w:val="single" w:sz="8" w:color="E5E6E6"/>
            </w:tcBorders>
          </w:tcPr>
          <w:p>
            <w:pPr>
              <w:ind w:left="100"/>
              <w:spacing w:after="0"/>
              <w:rPr>
                <w:sz w:val="20"/>
                <w:szCs w:val="20"/>
                <w:color w:val="auto"/>
              </w:rPr>
            </w:pPr>
            <w:r>
              <w:rPr>
                <w:rFonts w:ascii="Arial" w:cs="Arial" w:eastAsia="Arial" w:hAnsi="Arial"/>
                <w:sz w:val="18"/>
                <w:szCs w:val="18"/>
                <w:color w:val="auto"/>
              </w:rPr>
              <w:t>Lance F. Drummond</w:t>
            </w:r>
          </w:p>
        </w:tc>
        <w:tc>
          <w:tcPr>
            <w:tcW w:w="260" w:type="dxa"/>
            <w:vAlign w:val="bottom"/>
            <w:tcBorders>
              <w:right w:val="single" w:sz="8" w:color="E5E6E6"/>
            </w:tcBorders>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right w:val="single" w:sz="8" w:color="E5E6E6"/>
            </w:tcBorders>
          </w:tcPr>
          <w:p>
            <w:pPr>
              <w:spacing w:after="0"/>
              <w:rPr>
                <w:sz w:val="24"/>
                <w:szCs w:val="24"/>
                <w:color w:val="auto"/>
              </w:rPr>
            </w:pPr>
          </w:p>
        </w:tc>
        <w:tc>
          <w:tcPr>
            <w:tcW w:w="180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rPr>
              <w:t>M</w:t>
            </w:r>
          </w:p>
        </w:tc>
        <w:tc>
          <w:tcPr>
            <w:tcW w:w="178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rPr>
              <w:t>C</w:t>
            </w:r>
          </w:p>
        </w:tc>
        <w:tc>
          <w:tcPr>
            <w:tcW w:w="180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w w:val="93"/>
              </w:rPr>
              <w:t>M</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20" w:type="dxa"/>
            <w:vAlign w:val="bottom"/>
            <w:tcBorders>
              <w:right w:val="single" w:sz="8" w:color="E5E6E6"/>
            </w:tcBorders>
          </w:tcPr>
          <w:p>
            <w:pPr>
              <w:spacing w:after="0"/>
              <w:rPr>
                <w:sz w:val="4"/>
                <w:szCs w:val="4"/>
                <w:color w:val="auto"/>
              </w:rPr>
            </w:pPr>
          </w:p>
        </w:tc>
        <w:tc>
          <w:tcPr>
            <w:tcW w:w="26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20" w:type="dxa"/>
            <w:vAlign w:val="bottom"/>
            <w:tcBorders>
              <w:bottom w:val="single" w:sz="8" w:color="E5E6E6"/>
              <w:right w:val="single" w:sz="8" w:color="E5E6E6"/>
            </w:tcBorders>
            <w:shd w:val="clear" w:color="auto" w:fill="E5E6E6"/>
          </w:tcPr>
          <w:p>
            <w:pPr>
              <w:ind w:left="100"/>
              <w:spacing w:after="0"/>
              <w:rPr>
                <w:sz w:val="20"/>
                <w:szCs w:val="20"/>
                <w:color w:val="auto"/>
              </w:rPr>
            </w:pPr>
            <w:r>
              <w:rPr>
                <w:rFonts w:ascii="Arial" w:cs="Arial" w:eastAsia="Arial" w:hAnsi="Arial"/>
                <w:sz w:val="18"/>
                <w:szCs w:val="18"/>
                <w:color w:val="auto"/>
              </w:rPr>
              <w:t xml:space="preserve">H. Lynn Harton </w:t>
            </w:r>
            <w:r>
              <w:rPr>
                <w:rFonts w:ascii="Arial" w:cs="Arial" w:eastAsia="Arial" w:hAnsi="Arial"/>
                <w:sz w:val="18"/>
                <w:szCs w:val="18"/>
                <w:b w:val="1"/>
                <w:bCs w:val="1"/>
                <w:color w:val="auto"/>
              </w:rPr>
              <w:t>*</w:t>
            </w:r>
          </w:p>
        </w:tc>
        <w:tc>
          <w:tcPr>
            <w:tcW w:w="260" w:type="dxa"/>
            <w:vAlign w:val="bottom"/>
            <w:tcBorders>
              <w:bottom w:val="single" w:sz="8" w:color="E5E6E6"/>
              <w:right w:val="single" w:sz="8" w:color="E5E6E6"/>
            </w:tcBorders>
            <w:shd w:val="clear" w:color="auto" w:fill="E5E6E6"/>
          </w:tcPr>
          <w:p>
            <w:pPr>
              <w:spacing w:after="0"/>
              <w:rPr>
                <w:sz w:val="24"/>
                <w:szCs w:val="24"/>
                <w:color w:val="auto"/>
              </w:rPr>
            </w:pPr>
          </w:p>
        </w:tc>
        <w:tc>
          <w:tcPr>
            <w:tcW w:w="1800" w:type="dxa"/>
            <w:vAlign w:val="bottom"/>
            <w:tcBorders>
              <w:bottom w:val="single" w:sz="8" w:color="E5E6E6"/>
              <w:right w:val="single" w:sz="8" w:color="E5E6E6"/>
            </w:tcBorders>
            <w:shd w:val="clear" w:color="auto" w:fill="E5E6E6"/>
          </w:tcPr>
          <w:p>
            <w:pPr>
              <w:spacing w:after="0"/>
              <w:rPr>
                <w:sz w:val="24"/>
                <w:szCs w:val="24"/>
                <w:color w:val="auto"/>
              </w:rPr>
            </w:pPr>
          </w:p>
        </w:tc>
        <w:tc>
          <w:tcPr>
            <w:tcW w:w="1800" w:type="dxa"/>
            <w:vAlign w:val="bottom"/>
            <w:tcBorders>
              <w:bottom w:val="single" w:sz="8" w:color="E5E6E6"/>
              <w:right w:val="single" w:sz="8" w:color="E5E6E6"/>
            </w:tcBorders>
            <w:shd w:val="clear" w:color="auto" w:fill="E5E6E6"/>
          </w:tcPr>
          <w:p>
            <w:pPr>
              <w:jc w:val="center"/>
              <w:spacing w:after="0"/>
              <w:rPr>
                <w:sz w:val="20"/>
                <w:szCs w:val="20"/>
                <w:color w:val="auto"/>
              </w:rPr>
            </w:pPr>
            <w:r>
              <w:rPr>
                <w:rFonts w:ascii="Arial" w:cs="Arial" w:eastAsia="Arial" w:hAnsi="Arial"/>
                <w:sz w:val="18"/>
                <w:szCs w:val="18"/>
                <w:color w:val="auto"/>
              </w:rPr>
              <w:t>C</w:t>
            </w:r>
          </w:p>
        </w:tc>
        <w:tc>
          <w:tcPr>
            <w:tcW w:w="1780" w:type="dxa"/>
            <w:vAlign w:val="bottom"/>
            <w:tcBorders>
              <w:bottom w:val="single" w:sz="8" w:color="E5E6E6"/>
              <w:right w:val="single" w:sz="8" w:color="E5E6E6"/>
            </w:tcBorders>
            <w:shd w:val="clear" w:color="auto" w:fill="E5E6E6"/>
          </w:tcPr>
          <w:p>
            <w:pPr>
              <w:spacing w:after="0"/>
              <w:rPr>
                <w:sz w:val="24"/>
                <w:szCs w:val="24"/>
                <w:color w:val="auto"/>
              </w:rPr>
            </w:pPr>
          </w:p>
        </w:tc>
        <w:tc>
          <w:tcPr>
            <w:tcW w:w="1800" w:type="dxa"/>
            <w:vAlign w:val="bottom"/>
            <w:tcBorders>
              <w:bottom w:val="single" w:sz="8" w:color="E5E6E6"/>
              <w:right w:val="single" w:sz="8" w:color="E5E6E6"/>
            </w:tcBorders>
            <w:shd w:val="clear" w:color="auto" w:fill="E5E6E6"/>
          </w:tcPr>
          <w:p>
            <w:pPr>
              <w:spacing w:after="0"/>
              <w:rPr>
                <w:sz w:val="24"/>
                <w:szCs w:val="24"/>
                <w:color w:val="auto"/>
              </w:rPr>
            </w:pPr>
          </w:p>
        </w:tc>
        <w:tc>
          <w:tcPr>
            <w:tcW w:w="1780" w:type="dxa"/>
            <w:vAlign w:val="bottom"/>
            <w:tcBorders>
              <w:bottom w:val="single" w:sz="8" w:color="E5E6E6"/>
            </w:tcBorders>
            <w:shd w:val="clear" w:color="auto" w:fill="E5E6E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20" w:type="dxa"/>
            <w:vAlign w:val="bottom"/>
            <w:tcBorders>
              <w:right w:val="single" w:sz="8" w:color="E5E6E6"/>
            </w:tcBorders>
          </w:tcPr>
          <w:p>
            <w:pPr>
              <w:ind w:left="100"/>
              <w:spacing w:after="0"/>
              <w:rPr>
                <w:sz w:val="20"/>
                <w:szCs w:val="20"/>
                <w:color w:val="auto"/>
              </w:rPr>
            </w:pPr>
            <w:r>
              <w:rPr>
                <w:rFonts w:ascii="Arial" w:cs="Arial" w:eastAsia="Arial" w:hAnsi="Arial"/>
                <w:sz w:val="18"/>
                <w:szCs w:val="18"/>
                <w:color w:val="auto"/>
              </w:rPr>
              <w:t>Jennifer K. Mann</w:t>
            </w:r>
          </w:p>
        </w:tc>
        <w:tc>
          <w:tcPr>
            <w:tcW w:w="260" w:type="dxa"/>
            <w:vAlign w:val="bottom"/>
            <w:tcBorders>
              <w:right w:val="single" w:sz="8" w:color="E5E6E6"/>
            </w:tcBorders>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right w:val="single" w:sz="8" w:color="E5E6E6"/>
            </w:tcBorders>
          </w:tcPr>
          <w:p>
            <w:pPr>
              <w:spacing w:after="0"/>
              <w:rPr>
                <w:sz w:val="24"/>
                <w:szCs w:val="24"/>
                <w:color w:val="auto"/>
              </w:rPr>
            </w:pPr>
          </w:p>
        </w:tc>
        <w:tc>
          <w:tcPr>
            <w:tcW w:w="1800" w:type="dxa"/>
            <w:vAlign w:val="bottom"/>
            <w:tcBorders>
              <w:right w:val="single" w:sz="8" w:color="E5E6E6"/>
            </w:tcBorders>
          </w:tcPr>
          <w:p>
            <w:pPr>
              <w:spacing w:after="0"/>
              <w:rPr>
                <w:sz w:val="24"/>
                <w:szCs w:val="24"/>
                <w:color w:val="auto"/>
              </w:rPr>
            </w:pPr>
          </w:p>
        </w:tc>
        <w:tc>
          <w:tcPr>
            <w:tcW w:w="1780" w:type="dxa"/>
            <w:vAlign w:val="bottom"/>
            <w:tcBorders>
              <w:right w:val="single" w:sz="8" w:color="E5E6E6"/>
            </w:tcBorders>
          </w:tcPr>
          <w:p>
            <w:pPr>
              <w:spacing w:after="0"/>
              <w:rPr>
                <w:sz w:val="24"/>
                <w:szCs w:val="24"/>
                <w:color w:val="auto"/>
              </w:rPr>
            </w:pPr>
          </w:p>
        </w:tc>
        <w:tc>
          <w:tcPr>
            <w:tcW w:w="1800" w:type="dxa"/>
            <w:vAlign w:val="bottom"/>
            <w:tcBorders>
              <w:right w:val="single" w:sz="8" w:color="E5E6E6"/>
            </w:tcBorders>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20" w:type="dxa"/>
            <w:vAlign w:val="bottom"/>
            <w:tcBorders>
              <w:right w:val="single" w:sz="8" w:color="E5E6E6"/>
            </w:tcBorders>
          </w:tcPr>
          <w:p>
            <w:pPr>
              <w:spacing w:after="0"/>
              <w:rPr>
                <w:sz w:val="4"/>
                <w:szCs w:val="4"/>
                <w:color w:val="auto"/>
              </w:rPr>
            </w:pPr>
          </w:p>
        </w:tc>
        <w:tc>
          <w:tcPr>
            <w:tcW w:w="26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2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8"/>
                <w:szCs w:val="18"/>
                <w:color w:val="auto"/>
              </w:rPr>
              <w:t>Thomas A. Richlovsky</w:t>
            </w:r>
          </w:p>
        </w:tc>
        <w:tc>
          <w:tcPr>
            <w:tcW w:w="260" w:type="dxa"/>
            <w:vAlign w:val="bottom"/>
            <w:tcBorders>
              <w:right w:val="single" w:sz="8" w:color="E5E6E6"/>
            </w:tcBorders>
            <w:vMerge w:val="restart"/>
            <w:shd w:val="clear" w:color="auto" w:fill="E5E6E6"/>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right w:val="single" w:sz="8" w:color="E5E6E6"/>
            </w:tcBorders>
            <w:vMerge w:val="restart"/>
            <w:shd w:val="clear" w:color="auto" w:fill="E5E6E6"/>
          </w:tcPr>
          <w:p>
            <w:pPr>
              <w:jc w:val="center"/>
              <w:spacing w:after="0"/>
              <w:rPr>
                <w:sz w:val="20"/>
                <w:szCs w:val="20"/>
                <w:color w:val="auto"/>
              </w:rPr>
            </w:pPr>
            <w:r>
              <w:rPr>
                <w:rFonts w:ascii="Arial" w:cs="Arial" w:eastAsia="Arial" w:hAnsi="Arial"/>
                <w:sz w:val="18"/>
                <w:szCs w:val="18"/>
                <w:color w:val="auto"/>
                <w:w w:val="93"/>
              </w:rPr>
              <w:t>M</w:t>
            </w:r>
          </w:p>
        </w:tc>
        <w:tc>
          <w:tcPr>
            <w:tcW w:w="1800" w:type="dxa"/>
            <w:vAlign w:val="bottom"/>
            <w:tcBorders>
              <w:right w:val="single" w:sz="8" w:color="E5E6E6"/>
            </w:tcBorders>
            <w:vMerge w:val="restart"/>
            <w:shd w:val="clear" w:color="auto" w:fill="E5E6E6"/>
          </w:tcPr>
          <w:p>
            <w:pPr>
              <w:jc w:val="center"/>
              <w:spacing w:after="0"/>
              <w:rPr>
                <w:sz w:val="20"/>
                <w:szCs w:val="20"/>
                <w:color w:val="auto"/>
              </w:rPr>
            </w:pPr>
            <w:r>
              <w:rPr>
                <w:rFonts w:ascii="Arial" w:cs="Arial" w:eastAsia="Arial" w:hAnsi="Arial"/>
                <w:sz w:val="18"/>
                <w:szCs w:val="18"/>
                <w:color w:val="auto"/>
              </w:rPr>
              <w:t>M</w:t>
            </w:r>
          </w:p>
        </w:tc>
        <w:tc>
          <w:tcPr>
            <w:tcW w:w="1780" w:type="dxa"/>
            <w:vAlign w:val="bottom"/>
            <w:tcBorders>
              <w:right w:val="single" w:sz="8" w:color="E5E6E6"/>
            </w:tcBorders>
            <w:vMerge w:val="restart"/>
            <w:shd w:val="clear" w:color="auto" w:fill="E5E6E6"/>
          </w:tcPr>
          <w:p>
            <w:pPr>
              <w:jc w:val="center"/>
              <w:spacing w:after="0"/>
              <w:rPr>
                <w:sz w:val="20"/>
                <w:szCs w:val="20"/>
                <w:color w:val="auto"/>
              </w:rPr>
            </w:pPr>
            <w:r>
              <w:rPr>
                <w:rFonts w:ascii="Arial" w:cs="Arial" w:eastAsia="Arial" w:hAnsi="Arial"/>
                <w:sz w:val="18"/>
                <w:szCs w:val="18"/>
                <w:color w:val="auto"/>
              </w:rPr>
              <w:t>M</w:t>
            </w:r>
          </w:p>
        </w:tc>
        <w:tc>
          <w:tcPr>
            <w:tcW w:w="1800" w:type="dxa"/>
            <w:vAlign w:val="bottom"/>
            <w:tcBorders>
              <w:right w:val="single" w:sz="8" w:color="E5E6E6"/>
            </w:tcBorders>
            <w:vMerge w:val="restart"/>
            <w:shd w:val="clear" w:color="auto" w:fill="E5E6E6"/>
          </w:tcPr>
          <w:p>
            <w:pPr>
              <w:jc w:val="center"/>
              <w:spacing w:after="0"/>
              <w:rPr>
                <w:sz w:val="20"/>
                <w:szCs w:val="20"/>
                <w:color w:val="auto"/>
              </w:rPr>
            </w:pPr>
            <w:r>
              <w:rPr>
                <w:rFonts w:ascii="Arial" w:cs="Arial" w:eastAsia="Arial" w:hAnsi="Arial"/>
                <w:sz w:val="18"/>
                <w:szCs w:val="18"/>
                <w:color w:val="auto"/>
                <w:w w:val="93"/>
              </w:rPr>
              <w:t>M</w:t>
            </w:r>
          </w:p>
        </w:tc>
        <w:tc>
          <w:tcPr>
            <w:tcW w:w="1780" w:type="dxa"/>
            <w:vAlign w:val="bottom"/>
            <w:shd w:val="clear" w:color="auto" w:fill="E5E6E6"/>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20" w:type="dxa"/>
            <w:vAlign w:val="bottom"/>
            <w:tcBorders>
              <w:right w:val="single" w:sz="8" w:color="E5E6E6"/>
            </w:tcBorders>
            <w:vMerge w:val="restart"/>
            <w:shd w:val="clear" w:color="auto" w:fill="E5E6E6"/>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right w:val="single" w:sz="8" w:color="E5E6E6"/>
            </w:tcBorders>
            <w:vMerge w:val="continue"/>
            <w:shd w:val="clear" w:color="auto" w:fill="E5E6E6"/>
          </w:tcPr>
          <w:p>
            <w:pPr>
              <w:spacing w:after="0"/>
              <w:rPr>
                <w:sz w:val="11"/>
                <w:szCs w:val="11"/>
                <w:color w:val="auto"/>
              </w:rPr>
            </w:pPr>
          </w:p>
        </w:tc>
        <w:tc>
          <w:tcPr>
            <w:tcW w:w="1800" w:type="dxa"/>
            <w:vAlign w:val="bottom"/>
            <w:tcBorders>
              <w:right w:val="single" w:sz="8" w:color="E5E6E6"/>
            </w:tcBorders>
            <w:vMerge w:val="continue"/>
            <w:shd w:val="clear" w:color="auto" w:fill="E5E6E6"/>
          </w:tcPr>
          <w:p>
            <w:pPr>
              <w:spacing w:after="0"/>
              <w:rPr>
                <w:sz w:val="11"/>
                <w:szCs w:val="11"/>
                <w:color w:val="auto"/>
              </w:rPr>
            </w:pPr>
          </w:p>
        </w:tc>
        <w:tc>
          <w:tcPr>
            <w:tcW w:w="1800" w:type="dxa"/>
            <w:vAlign w:val="bottom"/>
            <w:tcBorders>
              <w:right w:val="single" w:sz="8" w:color="E5E6E6"/>
            </w:tcBorders>
            <w:vMerge w:val="continue"/>
            <w:shd w:val="clear" w:color="auto" w:fill="E5E6E6"/>
          </w:tcPr>
          <w:p>
            <w:pPr>
              <w:spacing w:after="0"/>
              <w:rPr>
                <w:sz w:val="11"/>
                <w:szCs w:val="11"/>
                <w:color w:val="auto"/>
              </w:rPr>
            </w:pPr>
          </w:p>
        </w:tc>
        <w:tc>
          <w:tcPr>
            <w:tcW w:w="1780" w:type="dxa"/>
            <w:vAlign w:val="bottom"/>
            <w:tcBorders>
              <w:right w:val="single" w:sz="8" w:color="E5E6E6"/>
            </w:tcBorders>
            <w:vMerge w:val="continue"/>
            <w:shd w:val="clear" w:color="auto" w:fill="E5E6E6"/>
          </w:tcPr>
          <w:p>
            <w:pPr>
              <w:spacing w:after="0"/>
              <w:rPr>
                <w:sz w:val="11"/>
                <w:szCs w:val="11"/>
                <w:color w:val="auto"/>
              </w:rPr>
            </w:pPr>
          </w:p>
        </w:tc>
        <w:tc>
          <w:tcPr>
            <w:tcW w:w="1800" w:type="dxa"/>
            <w:vAlign w:val="bottom"/>
            <w:tcBorders>
              <w:right w:val="single" w:sz="8" w:color="E5E6E6"/>
            </w:tcBorders>
            <w:vMerge w:val="continue"/>
            <w:shd w:val="clear" w:color="auto" w:fill="E5E6E6"/>
          </w:tcPr>
          <w:p>
            <w:pPr>
              <w:spacing w:after="0"/>
              <w:rPr>
                <w:sz w:val="11"/>
                <w:szCs w:val="11"/>
                <w:color w:val="auto"/>
              </w:rPr>
            </w:pPr>
          </w:p>
        </w:tc>
        <w:tc>
          <w:tcPr>
            <w:tcW w:w="1780" w:type="dxa"/>
            <w:vAlign w:val="bottom"/>
            <w:shd w:val="clear" w:color="auto" w:fill="E5E6E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20" w:type="dxa"/>
            <w:vAlign w:val="bottom"/>
            <w:tcBorders>
              <w:bottom w:val="single" w:sz="8" w:color="E5E6E6"/>
              <w:right w:val="single" w:sz="8" w:color="E5E6E6"/>
            </w:tcBorders>
            <w:vMerge w:val="continue"/>
            <w:shd w:val="clear" w:color="auto" w:fill="E5E6E6"/>
          </w:tcPr>
          <w:p>
            <w:pPr>
              <w:spacing w:after="0"/>
              <w:rPr>
                <w:sz w:val="12"/>
                <w:szCs w:val="12"/>
                <w:color w:val="auto"/>
              </w:rPr>
            </w:pPr>
          </w:p>
        </w:tc>
        <w:tc>
          <w:tcPr>
            <w:tcW w:w="260" w:type="dxa"/>
            <w:vAlign w:val="bottom"/>
            <w:tcBorders>
              <w:bottom w:val="single" w:sz="8" w:color="E5E6E6"/>
              <w:right w:val="single" w:sz="8" w:color="E5E6E6"/>
            </w:tcBorders>
            <w:shd w:val="clear" w:color="auto" w:fill="E5E6E6"/>
          </w:tcPr>
          <w:p>
            <w:pPr>
              <w:spacing w:after="0"/>
              <w:rPr>
                <w:sz w:val="12"/>
                <w:szCs w:val="12"/>
                <w:color w:val="auto"/>
              </w:rPr>
            </w:pPr>
          </w:p>
        </w:tc>
        <w:tc>
          <w:tcPr>
            <w:tcW w:w="1800" w:type="dxa"/>
            <w:vAlign w:val="bottom"/>
            <w:tcBorders>
              <w:bottom w:val="single" w:sz="8" w:color="E5E6E6"/>
              <w:right w:val="single" w:sz="8" w:color="E5E6E6"/>
            </w:tcBorders>
            <w:shd w:val="clear" w:color="auto" w:fill="E5E6E6"/>
          </w:tcPr>
          <w:p>
            <w:pPr>
              <w:spacing w:after="0"/>
              <w:rPr>
                <w:sz w:val="12"/>
                <w:szCs w:val="12"/>
                <w:color w:val="auto"/>
              </w:rPr>
            </w:pPr>
          </w:p>
        </w:tc>
        <w:tc>
          <w:tcPr>
            <w:tcW w:w="1800" w:type="dxa"/>
            <w:vAlign w:val="bottom"/>
            <w:tcBorders>
              <w:bottom w:val="single" w:sz="8" w:color="E5E6E6"/>
              <w:right w:val="single" w:sz="8" w:color="E5E6E6"/>
            </w:tcBorders>
            <w:shd w:val="clear" w:color="auto" w:fill="E5E6E6"/>
          </w:tcPr>
          <w:p>
            <w:pPr>
              <w:spacing w:after="0"/>
              <w:rPr>
                <w:sz w:val="12"/>
                <w:szCs w:val="12"/>
                <w:color w:val="auto"/>
              </w:rPr>
            </w:pPr>
          </w:p>
        </w:tc>
        <w:tc>
          <w:tcPr>
            <w:tcW w:w="1780" w:type="dxa"/>
            <w:vAlign w:val="bottom"/>
            <w:tcBorders>
              <w:bottom w:val="single" w:sz="8" w:color="E5E6E6"/>
              <w:right w:val="single" w:sz="8" w:color="E5E6E6"/>
            </w:tcBorders>
            <w:shd w:val="clear" w:color="auto" w:fill="E5E6E6"/>
          </w:tcPr>
          <w:p>
            <w:pPr>
              <w:spacing w:after="0"/>
              <w:rPr>
                <w:sz w:val="12"/>
                <w:szCs w:val="12"/>
                <w:color w:val="auto"/>
              </w:rPr>
            </w:pPr>
          </w:p>
        </w:tc>
        <w:tc>
          <w:tcPr>
            <w:tcW w:w="1800" w:type="dxa"/>
            <w:vAlign w:val="bottom"/>
            <w:tcBorders>
              <w:bottom w:val="single" w:sz="8" w:color="E5E6E6"/>
              <w:right w:val="single" w:sz="8" w:color="E5E6E6"/>
            </w:tcBorders>
            <w:shd w:val="clear" w:color="auto" w:fill="E5E6E6"/>
          </w:tcPr>
          <w:p>
            <w:pPr>
              <w:spacing w:after="0"/>
              <w:rPr>
                <w:sz w:val="12"/>
                <w:szCs w:val="12"/>
                <w:color w:val="auto"/>
              </w:rPr>
            </w:pPr>
          </w:p>
        </w:tc>
        <w:tc>
          <w:tcPr>
            <w:tcW w:w="1780" w:type="dxa"/>
            <w:vAlign w:val="bottom"/>
            <w:tcBorders>
              <w:bottom w:val="single" w:sz="8" w:color="E5E6E6"/>
            </w:tcBorders>
            <w:shd w:val="clear" w:color="auto" w:fill="E5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20" w:type="dxa"/>
            <w:vAlign w:val="bottom"/>
            <w:tcBorders>
              <w:right w:val="single" w:sz="8" w:color="E5E6E6"/>
            </w:tcBorders>
          </w:tcPr>
          <w:p>
            <w:pPr>
              <w:ind w:left="100"/>
              <w:spacing w:after="0"/>
              <w:rPr>
                <w:sz w:val="20"/>
                <w:szCs w:val="20"/>
                <w:color w:val="auto"/>
              </w:rPr>
            </w:pPr>
            <w:r>
              <w:rPr>
                <w:rFonts w:ascii="Arial" w:cs="Arial" w:eastAsia="Arial" w:hAnsi="Arial"/>
                <w:sz w:val="18"/>
                <w:szCs w:val="18"/>
                <w:color w:val="auto"/>
              </w:rPr>
              <w:t>David C. Shaver</w:t>
            </w:r>
          </w:p>
        </w:tc>
        <w:tc>
          <w:tcPr>
            <w:tcW w:w="260" w:type="dxa"/>
            <w:vAlign w:val="bottom"/>
            <w:tcBorders>
              <w:right w:val="single" w:sz="8" w:color="E5E6E6"/>
            </w:tcBorders>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w w:val="91"/>
              </w:rPr>
              <w:t>C</w:t>
            </w:r>
          </w:p>
        </w:tc>
        <w:tc>
          <w:tcPr>
            <w:tcW w:w="1800" w:type="dxa"/>
            <w:vAlign w:val="bottom"/>
            <w:tcBorders>
              <w:right w:val="single" w:sz="8" w:color="E5E6E6"/>
            </w:tcBorders>
          </w:tcPr>
          <w:p>
            <w:pPr>
              <w:spacing w:after="0"/>
              <w:rPr>
                <w:sz w:val="24"/>
                <w:szCs w:val="24"/>
                <w:color w:val="auto"/>
              </w:rPr>
            </w:pPr>
          </w:p>
        </w:tc>
        <w:tc>
          <w:tcPr>
            <w:tcW w:w="1780" w:type="dxa"/>
            <w:vAlign w:val="bottom"/>
            <w:tcBorders>
              <w:right w:val="single" w:sz="8" w:color="E5E6E6"/>
            </w:tcBorders>
          </w:tcPr>
          <w:p>
            <w:pPr>
              <w:spacing w:after="0"/>
              <w:rPr>
                <w:sz w:val="24"/>
                <w:szCs w:val="24"/>
                <w:color w:val="auto"/>
              </w:rPr>
            </w:pPr>
          </w:p>
        </w:tc>
        <w:tc>
          <w:tcPr>
            <w:tcW w:w="1800" w:type="dxa"/>
            <w:vAlign w:val="bottom"/>
            <w:tcBorders>
              <w:right w:val="single" w:sz="8" w:color="E5E6E6"/>
            </w:tcBorders>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20" w:type="dxa"/>
            <w:vAlign w:val="bottom"/>
            <w:tcBorders>
              <w:right w:val="single" w:sz="8" w:color="E5E6E6"/>
            </w:tcBorders>
          </w:tcPr>
          <w:p>
            <w:pPr>
              <w:spacing w:after="0"/>
              <w:rPr>
                <w:sz w:val="4"/>
                <w:szCs w:val="4"/>
                <w:color w:val="auto"/>
              </w:rPr>
            </w:pPr>
          </w:p>
        </w:tc>
        <w:tc>
          <w:tcPr>
            <w:tcW w:w="26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Borders>
              <w:right w:val="single" w:sz="8" w:color="E5E6E6"/>
            </w:tcBorders>
          </w:tcPr>
          <w:p>
            <w:pPr>
              <w:spacing w:after="0"/>
              <w:rPr>
                <w:sz w:val="4"/>
                <w:szCs w:val="4"/>
                <w:color w:val="auto"/>
              </w:rPr>
            </w:pPr>
          </w:p>
        </w:tc>
        <w:tc>
          <w:tcPr>
            <w:tcW w:w="1800" w:type="dxa"/>
            <w:vAlign w:val="bottom"/>
            <w:tcBorders>
              <w:right w:val="single" w:sz="8" w:color="E5E6E6"/>
            </w:tcBorders>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20" w:type="dxa"/>
            <w:vAlign w:val="bottom"/>
            <w:tcBorders>
              <w:bottom w:val="single" w:sz="8" w:color="E5E6E6"/>
              <w:right w:val="single" w:sz="8" w:color="E5E6E6"/>
            </w:tcBorders>
            <w:shd w:val="clear" w:color="auto" w:fill="E5E6E6"/>
          </w:tcPr>
          <w:p>
            <w:pPr>
              <w:ind w:left="100"/>
              <w:spacing w:after="0"/>
              <w:rPr>
                <w:sz w:val="20"/>
                <w:szCs w:val="20"/>
                <w:color w:val="auto"/>
              </w:rPr>
            </w:pPr>
            <w:r>
              <w:rPr>
                <w:rFonts w:ascii="Arial" w:cs="Arial" w:eastAsia="Arial" w:hAnsi="Arial"/>
                <w:sz w:val="18"/>
                <w:szCs w:val="18"/>
                <w:color w:val="auto"/>
              </w:rPr>
              <w:t>Tim R. Wallis</w:t>
            </w:r>
          </w:p>
        </w:tc>
        <w:tc>
          <w:tcPr>
            <w:tcW w:w="260" w:type="dxa"/>
            <w:vAlign w:val="bottom"/>
            <w:tcBorders>
              <w:bottom w:val="single" w:sz="8" w:color="E5E6E6"/>
              <w:right w:val="single" w:sz="8" w:color="E5E6E6"/>
            </w:tcBorders>
            <w:shd w:val="clear" w:color="auto" w:fill="E5E6E6"/>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bottom w:val="single" w:sz="8" w:color="E5E6E6"/>
              <w:right w:val="single" w:sz="8" w:color="E5E6E6"/>
            </w:tcBorders>
            <w:shd w:val="clear" w:color="auto" w:fill="E5E6E6"/>
          </w:tcPr>
          <w:p>
            <w:pPr>
              <w:spacing w:after="0"/>
              <w:rPr>
                <w:sz w:val="24"/>
                <w:szCs w:val="24"/>
                <w:color w:val="auto"/>
              </w:rPr>
            </w:pPr>
          </w:p>
        </w:tc>
        <w:tc>
          <w:tcPr>
            <w:tcW w:w="1800" w:type="dxa"/>
            <w:vAlign w:val="bottom"/>
            <w:tcBorders>
              <w:bottom w:val="single" w:sz="8" w:color="E5E6E6"/>
              <w:right w:val="single" w:sz="8" w:color="E5E6E6"/>
            </w:tcBorders>
            <w:shd w:val="clear" w:color="auto" w:fill="E5E6E6"/>
          </w:tcPr>
          <w:p>
            <w:pPr>
              <w:spacing w:after="0"/>
              <w:rPr>
                <w:sz w:val="24"/>
                <w:szCs w:val="24"/>
                <w:color w:val="auto"/>
              </w:rPr>
            </w:pPr>
          </w:p>
        </w:tc>
        <w:tc>
          <w:tcPr>
            <w:tcW w:w="1780" w:type="dxa"/>
            <w:vAlign w:val="bottom"/>
            <w:tcBorders>
              <w:bottom w:val="single" w:sz="8" w:color="E5E6E6"/>
              <w:right w:val="single" w:sz="8" w:color="E5E6E6"/>
            </w:tcBorders>
            <w:shd w:val="clear" w:color="auto" w:fill="E5E6E6"/>
          </w:tcPr>
          <w:p>
            <w:pPr>
              <w:spacing w:after="0"/>
              <w:rPr>
                <w:sz w:val="24"/>
                <w:szCs w:val="24"/>
                <w:color w:val="auto"/>
              </w:rPr>
            </w:pPr>
          </w:p>
        </w:tc>
        <w:tc>
          <w:tcPr>
            <w:tcW w:w="1800" w:type="dxa"/>
            <w:vAlign w:val="bottom"/>
            <w:tcBorders>
              <w:bottom w:val="single" w:sz="8" w:color="E5E6E6"/>
              <w:right w:val="single" w:sz="8" w:color="E5E6E6"/>
            </w:tcBorders>
            <w:shd w:val="clear" w:color="auto" w:fill="E5E6E6"/>
          </w:tcPr>
          <w:p>
            <w:pPr>
              <w:spacing w:after="0"/>
              <w:rPr>
                <w:sz w:val="24"/>
                <w:szCs w:val="24"/>
                <w:color w:val="auto"/>
              </w:rPr>
            </w:pPr>
          </w:p>
        </w:tc>
        <w:tc>
          <w:tcPr>
            <w:tcW w:w="1780" w:type="dxa"/>
            <w:vAlign w:val="bottom"/>
            <w:tcBorders>
              <w:bottom w:val="single" w:sz="8" w:color="E5E6E6"/>
            </w:tcBorders>
            <w:shd w:val="clear" w:color="auto" w:fill="E5E6E6"/>
          </w:tcPr>
          <w:p>
            <w:pPr>
              <w:jc w:val="center"/>
              <w:spacing w:after="0"/>
              <w:rPr>
                <w:sz w:val="20"/>
                <w:szCs w:val="20"/>
                <w:color w:val="auto"/>
              </w:rPr>
            </w:pPr>
            <w:r>
              <w:rPr>
                <w:rFonts w:ascii="Arial" w:cs="Arial" w:eastAsia="Arial" w:hAnsi="Arial"/>
                <w:sz w:val="18"/>
                <w:szCs w:val="18"/>
                <w:color w:val="auto"/>
                <w:w w:val="93"/>
              </w:rPr>
              <w:t>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20" w:type="dxa"/>
            <w:vAlign w:val="bottom"/>
            <w:tcBorders>
              <w:right w:val="single" w:sz="8" w:color="E5E6E6"/>
            </w:tcBorders>
          </w:tcPr>
          <w:p>
            <w:pPr>
              <w:ind w:left="100"/>
              <w:spacing w:after="0"/>
              <w:rPr>
                <w:sz w:val="20"/>
                <w:szCs w:val="20"/>
                <w:color w:val="auto"/>
              </w:rPr>
            </w:pPr>
            <w:r>
              <w:rPr>
                <w:rFonts w:ascii="Arial" w:cs="Arial" w:eastAsia="Arial" w:hAnsi="Arial"/>
                <w:sz w:val="18"/>
                <w:szCs w:val="18"/>
                <w:color w:val="auto"/>
              </w:rPr>
              <w:t>Amb. David H. Wilkins</w:t>
            </w:r>
          </w:p>
        </w:tc>
        <w:tc>
          <w:tcPr>
            <w:tcW w:w="260" w:type="dxa"/>
            <w:vAlign w:val="bottom"/>
            <w:tcBorders>
              <w:right w:val="single" w:sz="8" w:color="E5E6E6"/>
            </w:tcBorders>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right w:val="single" w:sz="8" w:color="E5E6E6"/>
            </w:tcBorders>
          </w:tcPr>
          <w:p>
            <w:pPr>
              <w:spacing w:after="0"/>
              <w:rPr>
                <w:sz w:val="24"/>
                <w:szCs w:val="24"/>
                <w:color w:val="auto"/>
              </w:rPr>
            </w:pPr>
          </w:p>
        </w:tc>
        <w:tc>
          <w:tcPr>
            <w:tcW w:w="1800" w:type="dxa"/>
            <w:vAlign w:val="bottom"/>
            <w:tcBorders>
              <w:right w:val="single" w:sz="8" w:color="E5E6E6"/>
            </w:tcBorders>
          </w:tcPr>
          <w:p>
            <w:pPr>
              <w:spacing w:after="0"/>
              <w:rPr>
                <w:sz w:val="24"/>
                <w:szCs w:val="24"/>
                <w:color w:val="auto"/>
              </w:rPr>
            </w:pPr>
          </w:p>
        </w:tc>
        <w:tc>
          <w:tcPr>
            <w:tcW w:w="1780" w:type="dxa"/>
            <w:vAlign w:val="bottom"/>
            <w:tcBorders>
              <w:right w:val="single" w:sz="8" w:color="E5E6E6"/>
            </w:tcBorders>
          </w:tcPr>
          <w:p>
            <w:pPr>
              <w:jc w:val="center"/>
              <w:spacing w:after="0"/>
              <w:rPr>
                <w:sz w:val="20"/>
                <w:szCs w:val="20"/>
                <w:color w:val="auto"/>
              </w:rPr>
            </w:pPr>
            <w:r>
              <w:rPr>
                <w:rFonts w:ascii="Arial" w:cs="Arial" w:eastAsia="Arial" w:hAnsi="Arial"/>
                <w:sz w:val="18"/>
                <w:szCs w:val="18"/>
                <w:color w:val="auto"/>
              </w:rPr>
              <w:t>M</w:t>
            </w:r>
          </w:p>
        </w:tc>
        <w:tc>
          <w:tcPr>
            <w:tcW w:w="1800" w:type="dxa"/>
            <w:vAlign w:val="bottom"/>
            <w:tcBorders>
              <w:right w:val="single" w:sz="8" w:color="E5E6E6"/>
            </w:tcBorders>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20" w:type="dxa"/>
            <w:vAlign w:val="bottom"/>
            <w:tcBorders>
              <w:bottom w:val="single" w:sz="8" w:color="E5E6E6"/>
              <w:right w:val="single" w:sz="8" w:color="E5E6E6"/>
            </w:tcBorders>
          </w:tcPr>
          <w:p>
            <w:pPr>
              <w:spacing w:after="0"/>
              <w:rPr>
                <w:sz w:val="4"/>
                <w:szCs w:val="4"/>
                <w:color w:val="auto"/>
              </w:rPr>
            </w:pPr>
          </w:p>
        </w:tc>
        <w:tc>
          <w:tcPr>
            <w:tcW w:w="260" w:type="dxa"/>
            <w:vAlign w:val="bottom"/>
            <w:tcBorders>
              <w:bottom w:val="single" w:sz="8" w:color="E5E6E6"/>
              <w:right w:val="single" w:sz="8" w:color="E5E6E6"/>
            </w:tcBorders>
          </w:tcPr>
          <w:p>
            <w:pPr>
              <w:spacing w:after="0"/>
              <w:rPr>
                <w:sz w:val="4"/>
                <w:szCs w:val="4"/>
                <w:color w:val="auto"/>
              </w:rPr>
            </w:pPr>
          </w:p>
        </w:tc>
        <w:tc>
          <w:tcPr>
            <w:tcW w:w="1800" w:type="dxa"/>
            <w:vAlign w:val="bottom"/>
            <w:tcBorders>
              <w:bottom w:val="single" w:sz="8" w:color="E5E6E6"/>
              <w:right w:val="single" w:sz="8" w:color="E5E6E6"/>
            </w:tcBorders>
          </w:tcPr>
          <w:p>
            <w:pPr>
              <w:spacing w:after="0"/>
              <w:rPr>
                <w:sz w:val="4"/>
                <w:szCs w:val="4"/>
                <w:color w:val="auto"/>
              </w:rPr>
            </w:pPr>
          </w:p>
        </w:tc>
        <w:tc>
          <w:tcPr>
            <w:tcW w:w="1800" w:type="dxa"/>
            <w:vAlign w:val="bottom"/>
            <w:tcBorders>
              <w:bottom w:val="single" w:sz="8" w:color="E5E6E6"/>
              <w:right w:val="single" w:sz="8" w:color="E5E6E6"/>
            </w:tcBorders>
          </w:tcPr>
          <w:p>
            <w:pPr>
              <w:spacing w:after="0"/>
              <w:rPr>
                <w:sz w:val="4"/>
                <w:szCs w:val="4"/>
                <w:color w:val="auto"/>
              </w:rPr>
            </w:pPr>
          </w:p>
        </w:tc>
        <w:tc>
          <w:tcPr>
            <w:tcW w:w="1780" w:type="dxa"/>
            <w:vAlign w:val="bottom"/>
            <w:tcBorders>
              <w:bottom w:val="single" w:sz="8" w:color="E5E6E6"/>
              <w:right w:val="single" w:sz="8" w:color="E5E6E6"/>
            </w:tcBorders>
          </w:tcPr>
          <w:p>
            <w:pPr>
              <w:spacing w:after="0"/>
              <w:rPr>
                <w:sz w:val="4"/>
                <w:szCs w:val="4"/>
                <w:color w:val="auto"/>
              </w:rPr>
            </w:pPr>
          </w:p>
        </w:tc>
        <w:tc>
          <w:tcPr>
            <w:tcW w:w="1800" w:type="dxa"/>
            <w:vAlign w:val="bottom"/>
            <w:tcBorders>
              <w:bottom w:val="single" w:sz="8" w:color="E5E6E6"/>
              <w:right w:val="single" w:sz="8" w:color="E5E6E6"/>
            </w:tcBorders>
          </w:tcPr>
          <w:p>
            <w:pPr>
              <w:spacing w:after="0"/>
              <w:rPr>
                <w:sz w:val="4"/>
                <w:szCs w:val="4"/>
                <w:color w:val="auto"/>
              </w:rPr>
            </w:pPr>
          </w:p>
        </w:tc>
        <w:tc>
          <w:tcPr>
            <w:tcW w:w="1780" w:type="dxa"/>
            <w:vAlign w:val="bottom"/>
            <w:tcBorders>
              <w:bottom w:val="single" w:sz="8" w:color="E5E6E6"/>
            </w:tcBorders>
          </w:tcPr>
          <w:p>
            <w:pPr>
              <w:spacing w:after="0"/>
              <w:rPr>
                <w:sz w:val="4"/>
                <w:szCs w:val="4"/>
                <w:color w:val="auto"/>
              </w:rPr>
            </w:pPr>
          </w:p>
        </w:tc>
        <w:tc>
          <w:tcPr>
            <w:tcW w:w="20" w:type="dxa"/>
            <w:vAlign w:val="bottom"/>
            <w:tcBorders>
              <w:bottom w:val="single" w:sz="8" w:color="E5E6E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-222250</wp:posOffset>
            </wp:positionV>
            <wp:extent cx="8255"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-436880</wp:posOffset>
            </wp:positionV>
            <wp:extent cx="8255"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-436880</wp:posOffset>
            </wp:positionV>
            <wp:extent cx="889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-436880</wp:posOffset>
            </wp:positionV>
            <wp:extent cx="889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-436880</wp:posOffset>
            </wp:positionV>
            <wp:extent cx="889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-436880</wp:posOffset>
            </wp:positionV>
            <wp:extent cx="889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-436880</wp:posOffset>
            </wp:positionV>
            <wp:extent cx="889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-993775</wp:posOffset>
            </wp:positionV>
            <wp:extent cx="8255" cy="3429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34290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-993775</wp:posOffset>
            </wp:positionV>
            <wp:extent cx="8890" cy="3429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-993775</wp:posOffset>
            </wp:positionV>
            <wp:extent cx="8890" cy="342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-993775</wp:posOffset>
            </wp:positionV>
            <wp:extent cx="8890" cy="342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-993775</wp:posOffset>
            </wp:positionV>
            <wp:extent cx="8890" cy="342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-993775</wp:posOffset>
            </wp:positionV>
            <wp:extent cx="8890"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-1422400</wp:posOffset>
            </wp:positionV>
            <wp:extent cx="8255"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-1422400</wp:posOffset>
            </wp:positionV>
            <wp:extent cx="889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-1422400</wp:posOffset>
            </wp:positionV>
            <wp:extent cx="889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-1422400</wp:posOffset>
            </wp:positionV>
            <wp:extent cx="889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-1422400</wp:posOffset>
            </wp:positionV>
            <wp:extent cx="889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-1422400</wp:posOffset>
            </wp:positionV>
            <wp:extent cx="889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-1851025</wp:posOffset>
            </wp:positionV>
            <wp:extent cx="8255"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-1851025</wp:posOffset>
            </wp:positionV>
            <wp:extent cx="889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-1851025</wp:posOffset>
            </wp:positionV>
            <wp:extent cx="8890"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-1851025</wp:posOffset>
            </wp:positionV>
            <wp:extent cx="889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-1851025</wp:posOffset>
            </wp:positionV>
            <wp:extent cx="8890"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-1851025</wp:posOffset>
            </wp:positionV>
            <wp:extent cx="8890"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-2279650</wp:posOffset>
            </wp:positionV>
            <wp:extent cx="8255"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-2279650</wp:posOffset>
            </wp:positionV>
            <wp:extent cx="889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-2279650</wp:posOffset>
            </wp:positionV>
            <wp:extent cx="8890"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-2279650</wp:posOffset>
            </wp:positionV>
            <wp:extent cx="8890" cy="214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-2279650</wp:posOffset>
            </wp:positionV>
            <wp:extent cx="889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-2279650</wp:posOffset>
            </wp:positionV>
            <wp:extent cx="889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21463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 = Independent director C = Chairperson M = Member </w:t>
      </w:r>
      <w:r>
        <w:rPr>
          <w:rFonts w:ascii="Arial" w:cs="Arial" w:eastAsia="Arial" w:hAnsi="Arial"/>
          <w:sz w:val="14"/>
          <w:szCs w:val="14"/>
          <w:b w:val="1"/>
          <w:bCs w:val="1"/>
          <w:color w:val="auto"/>
        </w:rPr>
        <w:t>*</w:t>
      </w:r>
      <w:r>
        <w:rPr>
          <w:rFonts w:ascii="Arial" w:cs="Arial" w:eastAsia="Arial" w:hAnsi="Arial"/>
          <w:sz w:val="14"/>
          <w:szCs w:val="14"/>
          <w:color w:val="auto"/>
        </w:rPr>
        <w:t xml:space="preserve"> = Chairman of the Board • = Lead Director</w:t>
      </w:r>
    </w:p>
    <w:p>
      <w:pPr>
        <w:spacing w:after="0" w:line="181" w:lineRule="exact"/>
        <w:rPr>
          <w:sz w:val="20"/>
          <w:szCs w:val="20"/>
          <w:color w:val="auto"/>
        </w:rPr>
      </w:pPr>
    </w:p>
    <w:p>
      <w:pPr>
        <w:jc w:val="both"/>
        <w:ind w:right="300"/>
        <w:spacing w:after="0" w:line="249" w:lineRule="auto"/>
        <w:rPr>
          <w:sz w:val="20"/>
          <w:szCs w:val="20"/>
          <w:color w:val="auto"/>
        </w:rPr>
      </w:pPr>
      <w:r>
        <w:rPr>
          <w:rFonts w:ascii="Arial" w:cs="Arial" w:eastAsia="Arial" w:hAnsi="Arial"/>
          <w:sz w:val="14"/>
          <w:szCs w:val="14"/>
          <w:color w:val="auto"/>
        </w:rPr>
        <w:t>+Dr. Clements was appointed to the Board in August 2020. Generally, during a director’s first year of service, the director is invited to participate in committee meetings as a guest as part of new director orientation. A director is typically appointed to one or more Board committees after becoming familiar with the Board committees, structure,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Board has adopted a charter for each standing Board committee, which are available on the Investor Relations &gt; Corporate Governance section of our website (www.ucbi.com). Each committee charter addresses the purpose, authority, and responsibilities of the committee, as well as membership and meetings. As required by each committee charter, each committee annually reviews and assesses its charter’s adequacy and the committee’s performance. Committees may recommend amendments to their respective charters, and our Board must approve amendments.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members, number of meetings held in 2020, and key responsibilities of each of our standing committees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2371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23"/>
          <w:szCs w:val="23"/>
          <w:color w:val="1077A9"/>
        </w:rPr>
        <w:t>Audit</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Membership: Mr. Blalock, Mr. Daniels, Mr. Richlovsky, Mr. Shaver (Chair)</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2020 Meetings: 9</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Key Responsibilities:</w:t>
      </w:r>
    </w:p>
    <w:p>
      <w:pPr>
        <w:spacing w:after="0" w:line="212" w:lineRule="exact"/>
        <w:rPr>
          <w:sz w:val="20"/>
          <w:szCs w:val="20"/>
          <w:color w:val="auto"/>
        </w:rPr>
      </w:pPr>
    </w:p>
    <w:p>
      <w:pPr>
        <w:ind w:left="680" w:hanging="36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Selects the independent auditor</w:t>
      </w:r>
    </w:p>
    <w:p>
      <w:pPr>
        <w:spacing w:after="0" w:line="22" w:lineRule="exact"/>
        <w:rPr>
          <w:rFonts w:ascii="Arial" w:cs="Arial" w:eastAsia="Arial" w:hAnsi="Arial"/>
          <w:sz w:val="18"/>
          <w:szCs w:val="18"/>
          <w:color w:val="auto"/>
        </w:rPr>
      </w:pPr>
    </w:p>
    <w:p>
      <w:pPr>
        <w:jc w:val="both"/>
        <w:ind w:left="680" w:right="520" w:hanging="36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Annually evaluates the independent auditor’s qualifications, performance, and independence, as well as the lead audit partner; discusses the nature, scope and rigor of the audit process; and reviews the annual report on the independent auditor’s internal quality control procedures and any material issues raised by its most recent review of internal quality controls</w:t>
      </w:r>
    </w:p>
    <w:p>
      <w:pPr>
        <w:spacing w:after="0" w:line="13" w:lineRule="exact"/>
        <w:rPr>
          <w:rFonts w:ascii="Arial" w:cs="Arial" w:eastAsia="Arial" w:hAnsi="Arial"/>
          <w:sz w:val="18"/>
          <w:szCs w:val="18"/>
          <w:color w:val="auto"/>
        </w:rPr>
      </w:pPr>
    </w:p>
    <w:p>
      <w:pPr>
        <w:ind w:left="680" w:hanging="36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Discusses the annual audited and quarterly unaudited financial statements with management and the independent auditor</w:t>
      </w:r>
    </w:p>
    <w:p>
      <w:pPr>
        <w:spacing w:after="0" w:line="22" w:lineRule="exact"/>
        <w:rPr>
          <w:rFonts w:ascii="Arial" w:cs="Arial" w:eastAsia="Arial" w:hAnsi="Arial"/>
          <w:sz w:val="18"/>
          <w:szCs w:val="18"/>
          <w:color w:val="auto"/>
        </w:rPr>
      </w:pPr>
    </w:p>
    <w:p>
      <w:pPr>
        <w:ind w:left="680" w:right="380" w:hanging="366"/>
        <w:spacing w:after="0" w:line="246"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with management and auditors the quality and adequacy of our internal control over financial reporting, and establishes procedures for receipt, retention and treatment of complaints regarding accounting or internal controls</w:t>
      </w:r>
    </w:p>
    <w:p>
      <w:pPr>
        <w:spacing w:after="0" w:line="7" w:lineRule="exact"/>
        <w:rPr>
          <w:rFonts w:ascii="Arial" w:cs="Arial" w:eastAsia="Arial" w:hAnsi="Arial"/>
          <w:sz w:val="18"/>
          <w:szCs w:val="18"/>
          <w:color w:val="auto"/>
        </w:rPr>
      </w:pPr>
    </w:p>
    <w:p>
      <w:pPr>
        <w:ind w:left="680" w:hanging="36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Oversees, reviews and approves internal audit activities, projects, and budget</w:t>
      </w:r>
    </w:p>
    <w:p>
      <w:pPr>
        <w:spacing w:after="0" w:line="22" w:lineRule="exact"/>
        <w:rPr>
          <w:rFonts w:ascii="Arial" w:cs="Arial" w:eastAsia="Arial" w:hAnsi="Arial"/>
          <w:sz w:val="18"/>
          <w:szCs w:val="18"/>
          <w:color w:val="auto"/>
        </w:rPr>
      </w:pPr>
    </w:p>
    <w:p>
      <w:pPr>
        <w:ind w:left="680" w:hanging="36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Oversees the effectiveness of our compliance and ethics programs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0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0" w:name="page21"/>
    <w:bookmarkEnd w:id="20"/>
    <w:p>
      <w:pPr>
        <w:spacing w:after="0"/>
        <w:rPr>
          <w:sz w:val="20"/>
          <w:szCs w:val="20"/>
          <w:color w:val="auto"/>
        </w:rPr>
      </w:pPr>
      <w:r>
        <w:rPr>
          <w:rFonts w:ascii="Arial" w:cs="Arial" w:eastAsia="Arial" w:hAnsi="Arial"/>
          <w:sz w:val="23"/>
          <w:szCs w:val="23"/>
          <w:color w:val="1077A9"/>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5862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86230"/>
                    </a:xfrm>
                    <a:prstGeom prst="rect">
                      <a:avLst/>
                    </a:prstGeom>
                    <a:noFill/>
                  </pic:spPr>
                </pic:pic>
              </a:graphicData>
            </a:graphic>
          </wp:anchor>
        </w:drawing>
        <w:t>Executive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Membership: Ms. Cox, Mr. Daniels, Mr. Drummond, Mr. Harton (Chair), Mr. Richlovsky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2020 Meetings: 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Key Responsibilities:</w:t>
      </w:r>
    </w:p>
    <w:p>
      <w:pPr>
        <w:spacing w:after="0" w:line="36" w:lineRule="exact"/>
        <w:rPr>
          <w:sz w:val="20"/>
          <w:szCs w:val="20"/>
          <w:color w:val="auto"/>
        </w:rPr>
      </w:pPr>
    </w:p>
    <w:p>
      <w:pPr>
        <w:ind w:left="480" w:right="300" w:hanging="346"/>
        <w:spacing w:after="0" w:line="246"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certain limitations, has the responsibility to exercise, during the intervals between meetings of the Board, any and all of the powers and authority of the Board in United’s management and affairs</w:t>
      </w:r>
    </w:p>
    <w:p>
      <w:pPr>
        <w:spacing w:after="0" w:line="7" w:lineRule="exact"/>
        <w:rPr>
          <w:rFonts w:ascii="Arial" w:cs="Arial" w:eastAsia="Arial" w:hAnsi="Arial"/>
          <w:sz w:val="18"/>
          <w:szCs w:val="18"/>
          <w:color w:val="auto"/>
        </w:rPr>
      </w:pPr>
    </w:p>
    <w:p>
      <w:pPr>
        <w:ind w:left="480" w:right="200" w:hanging="346"/>
        <w:spacing w:after="0" w:line="246"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From time to time, our CEO or executive team consult the Executive Committee regarding strategic or other matters where input of Board members may be valuable outside of regularly scheduled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125730</wp:posOffset>
            </wp:positionV>
            <wp:extent cx="7132320" cy="38747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8747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1077A9"/>
        </w:rPr>
        <w:t>Nominating and Corporate Governance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Membership: Ms. Cox, Mr. Drummond (Chair), Mr. Richlovsky, Mr. Wilkins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2020 Meetings: 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Key responsibilities:</w:t>
      </w:r>
    </w:p>
    <w:p>
      <w:pPr>
        <w:spacing w:after="0" w:line="36" w:lineRule="exact"/>
        <w:rPr>
          <w:sz w:val="20"/>
          <w:szCs w:val="20"/>
          <w:color w:val="auto"/>
        </w:rPr>
      </w:pPr>
    </w:p>
    <w:p>
      <w:pPr>
        <w:ind w:left="480" w:hanging="346"/>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Reviews and recommends, as appropriate, changes to the size, composition and operation of the Board and its committees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Develops and recommends criteria for selecting new directors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Identifies, screens and recommends to our Board individuals qualified to serve on our Board</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Recommends Board committee structure and membership, including the recommendation of a Lead Director</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Assists the Board with succession planning</w:t>
      </w:r>
    </w:p>
    <w:p>
      <w:pPr>
        <w:spacing w:after="0" w:line="22" w:lineRule="exact"/>
        <w:rPr>
          <w:rFonts w:ascii="Arial" w:cs="Arial" w:eastAsia="Arial" w:hAnsi="Arial"/>
          <w:sz w:val="18"/>
          <w:szCs w:val="18"/>
          <w:color w:val="auto"/>
        </w:rPr>
      </w:pPr>
    </w:p>
    <w:p>
      <w:pPr>
        <w:ind w:left="480" w:right="1400" w:hanging="346"/>
        <w:spacing w:after="0" w:line="246"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Develops, recommends and annually assesses corporate governance policies, practices and guidelines and makes recommendations for changes to the Board</w:t>
      </w:r>
    </w:p>
    <w:p>
      <w:pPr>
        <w:spacing w:after="0" w:line="7" w:lineRule="exact"/>
        <w:rPr>
          <w:rFonts w:ascii="Arial" w:cs="Arial" w:eastAsia="Arial" w:hAnsi="Arial"/>
          <w:sz w:val="18"/>
          <w:szCs w:val="18"/>
          <w:color w:val="auto"/>
        </w:rPr>
      </w:pPr>
    </w:p>
    <w:p>
      <w:pPr>
        <w:ind w:left="480" w:hanging="346"/>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Monitors the Company’s strategies in light of corporate stewardship and environmental, social, and governance principles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Oversees the process governing annual Board, committee and director evaluations</w:t>
      </w:r>
    </w:p>
    <w:p>
      <w:pPr>
        <w:spacing w:after="0" w:line="271" w:lineRule="exact"/>
        <w:rPr>
          <w:sz w:val="20"/>
          <w:szCs w:val="20"/>
          <w:color w:val="auto"/>
        </w:rPr>
      </w:pPr>
    </w:p>
    <w:p>
      <w:pPr>
        <w:spacing w:after="0"/>
        <w:rPr>
          <w:sz w:val="20"/>
          <w:szCs w:val="20"/>
          <w:color w:val="auto"/>
        </w:rPr>
      </w:pPr>
      <w:r>
        <w:rPr>
          <w:rFonts w:ascii="Arial" w:cs="Arial" w:eastAsia="Arial" w:hAnsi="Arial"/>
          <w:sz w:val="23"/>
          <w:szCs w:val="23"/>
          <w:color w:val="1077A9"/>
        </w:rPr>
        <w:t>Risk</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Membership: Mr. Blalock, Ms. Cox, Mr. Daniels (Chair), Mr. Drummond, Mr. Richlovsky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2020 Meetings: 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Key responsibilities:</w:t>
      </w:r>
    </w:p>
    <w:p>
      <w:pPr>
        <w:spacing w:after="0" w:line="36" w:lineRule="exact"/>
        <w:rPr>
          <w:sz w:val="20"/>
          <w:szCs w:val="20"/>
          <w:color w:val="auto"/>
        </w:rPr>
      </w:pPr>
    </w:p>
    <w:p>
      <w:pPr>
        <w:ind w:left="480" w:hanging="346"/>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Assists the Board in its general oversight of the Company’s risk management processes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Responsible for an integrated effort to identify, assess and manage or mitigate material risks facing the Company</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Monitors and reviews United’s enterprise risk management processes, strategies, policies and practices to identify emerging risks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Evaluates the adequacy of United’s risk management functions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Makes recommendations to management and the Board in order to effectively manage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134620</wp:posOffset>
            </wp:positionV>
            <wp:extent cx="7132320" cy="19627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96278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3"/>
          <w:szCs w:val="23"/>
          <w:color w:val="1077A9"/>
        </w:rPr>
        <w:t>Talent and Compensation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Membership: Mr. Daniels, Mr. Drummond, Ms. Mann (Chair), Mr. Shaver, Mr. Wallis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2020 Meetings: 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Key Responsibilities:</w:t>
      </w:r>
    </w:p>
    <w:p>
      <w:pPr>
        <w:spacing w:after="0" w:line="36" w:lineRule="exact"/>
        <w:rPr>
          <w:sz w:val="20"/>
          <w:szCs w:val="20"/>
          <w:color w:val="auto"/>
        </w:rPr>
      </w:pPr>
    </w:p>
    <w:p>
      <w:pPr>
        <w:ind w:left="480" w:hanging="3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and approves corporate goals and objectives relevant to compensation of the Company’s executive officers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Determines executive officer compensation and recommends director compensation for Board approval</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Oversees overall compensation philosophy and principles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Establishes short-term and long-term incentive compensation programs for executive officers and approves all equity awards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Oversees share ownership guidelines and holding requirements for Board members and executive officers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Oversees the performance evaluation process for executive officers</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Selects and determines fees and scope of work of its compensation consultant</w:t>
      </w:r>
    </w:p>
    <w:p>
      <w:pPr>
        <w:spacing w:after="0" w:line="22" w:lineRule="exact"/>
        <w:rPr>
          <w:rFonts w:ascii="Arial" w:cs="Arial" w:eastAsia="Arial" w:hAnsi="Arial"/>
          <w:sz w:val="18"/>
          <w:szCs w:val="18"/>
          <w:color w:val="auto"/>
        </w:rPr>
      </w:pPr>
    </w:p>
    <w:p>
      <w:pPr>
        <w:ind w:left="480" w:hanging="34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Oversees and evaluates the independence of its compensation consultant and other advisors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76" w:right="339" w:bottom="1440" w:gutter="0" w:footer="0" w:header="0"/>
        </w:sectPr>
      </w:pPr>
    </w:p>
    <w:bookmarkStart w:id="21" w:name="page22"/>
    <w:bookmarkEnd w:id="21"/>
    <w:p>
      <w:pPr>
        <w:spacing w:after="0"/>
        <w:rPr>
          <w:sz w:val="20"/>
          <w:szCs w:val="20"/>
          <w:color w:val="auto"/>
        </w:rPr>
      </w:pPr>
      <w:r>
        <w:rPr>
          <w:rFonts w:ascii="Arial" w:cs="Arial" w:eastAsia="Arial" w:hAnsi="Arial"/>
          <w:sz w:val="27"/>
          <w:szCs w:val="27"/>
          <w:b w:val="1"/>
          <w:bCs w:val="1"/>
          <w:color w:val="1077A9"/>
        </w:rPr>
        <w:t>Board and Committee Meeting Attendance</w:t>
      </w:r>
    </w:p>
    <w:p>
      <w:pPr>
        <w:spacing w:after="0" w:line="23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Directors are expected to attend our annual meeting of shareholders, Board meetings, and meetings of Board committees on which they serve. Attendance may be by telephone or video conference. During 2020, our Board met 5 times. The Company’s independent directors meet in executive session in conjunction with each regular Board meeting. Mr. Richlovsky, as Lead Director, presides over all executive sessions of the independent directors.</w:t>
      </w:r>
    </w:p>
    <w:p>
      <w:pPr>
        <w:spacing w:after="0" w:line="19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During 2020, each of our incumbent directors attended at least 75% of the aggregate meetings of our Board and the committees on which they served during 2020. In addition, each of our directors serving at the time attended our 2020 Annual Meeting of Shareholders.</w:t>
      </w:r>
    </w:p>
    <w:p>
      <w:pPr>
        <w:spacing w:after="0" w:line="18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to our regular meetings of the Board and Board Committees, directors attend a Board retreat annually. The Board retreat includes outside speakers who present on emerging topics relevant to the Company and the banking industry and discussion of the Company’s strategic imperatives. All of our directors attended the 2020 Board retreat either in person or virtually.</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Board Oversight of Risk</w:t>
      </w:r>
    </w:p>
    <w:p>
      <w:pPr>
        <w:spacing w:after="0" w:line="23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Board oversees the Company’s risk management. The Company has developed a risk management structure to facilitate careful oversight of risk. The Board provides credible challenge and holds management accountable for maintaining an effective risk management program and for adhering to risk management expectations.</w:t>
      </w:r>
    </w:p>
    <w:p>
      <w:pPr>
        <w:spacing w:after="0" w:line="189"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The Board (or the appropriate committee in the case of risks that are under the purview of a particular committee) receives and discusses reports prepared by United’s executive management, including the Chief Risk Officer, on areas of material risk to United. The Board uses these reports to enable it to understand the risk identification, risk management, and risk mitigation strategies being used by United and to ensure that the strategies are implemented appropriately.</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To further support the risk management function, United also has a Risk Committee comprised solely of independent directors. The Risk Committee assists the Board in its general oversight of the Company’s risk management processes and is responsible for an integrated effort to identify, assess, and manage or mitigate material risks facing the Company. The Risk Committee’s primary functions include monitoring and reviewing United’s enterprise risk management processes, strategies, policies, and practices to identify emerging risks, evaluate the adequacy of United’s risk management functions, and make recommendations to management and the Board in order to effectively manage risks.</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Audit Committee Financial Expert</w:t>
      </w:r>
    </w:p>
    <w:p>
      <w:pPr>
        <w:spacing w:after="0" w:line="23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Board has determined that each of Messrs. Richlovsky and Shaver is an “Audit Committee financial expert” as that term is defined in the regulations promulgated under the Exchange Act. Additionally, the Board has determined that all members of the Audit Committee are able to read and understand fundamental financial statements within the meaning of NASDAQ’s Audit Committee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Share Ownership Guidelines and Anti-Hedging Policy</w:t>
      </w:r>
    </w:p>
    <w:p>
      <w:pPr>
        <w:spacing w:after="0" w:line="23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Board has adopted share ownership guidelines for directors and executive officers. See Director Compensation for additional information of our share ownership guidelines and holding requirements for Board members and executive officers.</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insider trading policy prohibits Board members and employees (including our executive officers) from pledging United securities as collateral, holding United securities in a margin account, and hedging against any decrease in the market value of equity securities issued by United and held by them, such as entering into or trading prepaid variable forward contracts, equity swaps, collars, puts, calls, options, exchange funds or other derivative instruments related to United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 w:name="page23"/>
    <w:bookmarkEnd w:id="22"/>
    <w:p>
      <w:pPr>
        <w:spacing w:after="0"/>
        <w:rPr>
          <w:sz w:val="20"/>
          <w:szCs w:val="20"/>
          <w:color w:val="auto"/>
        </w:rPr>
      </w:pPr>
      <w:r>
        <w:rPr>
          <w:rFonts w:ascii="Arial" w:cs="Arial" w:eastAsia="Arial" w:hAnsi="Arial"/>
          <w:sz w:val="27"/>
          <w:szCs w:val="27"/>
          <w:b w:val="1"/>
          <w:bCs w:val="1"/>
          <w:color w:val="1077A9"/>
        </w:rPr>
        <w:t>Code of Ethical Conduct</w:t>
      </w:r>
    </w:p>
    <w:p>
      <w:pPr>
        <w:spacing w:after="0" w:line="23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 addition to a Code of Ethics applicable to all of our employees, United has adopted a Code of Ethical Conduct designed to promote ethical conduct which applies to, among other members of our executive and senior management and Board, United’s Chief Executive Officer, Chief Financial Officer and Chief Accounting Officer. United’s Code of Ethical Conduct is available on our website (www.ucbi.com) where we would also post any amendments or waivers to the Code of Ethical Conduct.</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Communications with Board of Directors</w:t>
      </w:r>
    </w:p>
    <w:p>
      <w:pPr>
        <w:spacing w:after="0" w:line="23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Shareholders wishing to communicate with the Board should send any communication in writing to the Corporate Secretary, United Community Banks, Inc., 2 West Washington Street, Suite 700, Greenville, South Carolina, 29601. Any such communication must state the number of shares beneficially owned by the shareholder making the communication. The communication will be forwarded to the full Board or to any individual director or directors to whom the communication is directed unless the communication is determined to be illegal or otherwise inappropriate.</w:t>
      </w:r>
    </w:p>
    <w:p>
      <w:pPr>
        <w:spacing w:after="0" w:line="154"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Corporate Governance Information</w:t>
      </w:r>
    </w:p>
    <w:p>
      <w:pPr>
        <w:spacing w:after="0" w:line="23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You can find information regarding our corporate governance practices on the Investor Relations &gt; Corporate Governance section of our website (www.ucbi.com) including our Code of Ethics and the charter of each of our standing committees. This information is available in print to any shareholder who sends a written request to: Investor Relations, United Community Banks, Inc., 2 West Washington Street, Suite 700, Greenville, South Carolina, 29601.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3" w:name="page24"/>
    <w:bookmarkEnd w:id="23"/>
    <w:p>
      <w:pPr>
        <w:spacing w:after="0"/>
        <w:rPr>
          <w:sz w:val="20"/>
          <w:szCs w:val="20"/>
          <w:color w:val="auto"/>
        </w:rPr>
      </w:pPr>
      <w:r>
        <w:rPr>
          <w:rFonts w:ascii="Arial" w:cs="Arial" w:eastAsia="Arial" w:hAnsi="Arial"/>
          <w:sz w:val="36"/>
          <w:szCs w:val="36"/>
          <w:b w:val="1"/>
          <w:bCs w:val="1"/>
          <w:color w:val="143964"/>
        </w:rPr>
        <w:t>Director Compensation</w:t>
      </w:r>
    </w:p>
    <w:p>
      <w:pPr>
        <w:spacing w:after="0" w:line="25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following summarizes the compensation earned by or paid to each person who served as a nonemployee member of our Board of Directors during all or any part of 2020. Mr. Harton was not separately compensated for his service on the Board. See Executive Compensation for information regarding Mr. Harton’s employee compensation. Directors of the Company also serve on the Board of United Community Bank (the “Bank”) and receive no additional compensation related to their service on the Bank’s Board. In addition, we reimburse directors for certain fees and expenses incurred in connection with continuing education activities and for travel and expenses related to United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95885</wp:posOffset>
            </wp:positionV>
            <wp:extent cx="889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20574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95885</wp:posOffset>
            </wp:positionV>
            <wp:extent cx="8890"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20574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95885</wp:posOffset>
            </wp:positionV>
            <wp:extent cx="889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20574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95885</wp:posOffset>
            </wp:positionV>
            <wp:extent cx="889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vMerge w:val="restart"/>
            <w:shd w:val="clear" w:color="auto" w:fill="1077A9"/>
          </w:tcPr>
          <w:p>
            <w:pPr>
              <w:ind w:left="80"/>
              <w:spacing w:after="0"/>
              <w:rPr>
                <w:sz w:val="20"/>
                <w:szCs w:val="20"/>
                <w:color w:val="auto"/>
              </w:rPr>
            </w:pPr>
            <w:r>
              <w:rPr>
                <w:rFonts w:ascii="Arial" w:cs="Arial" w:eastAsia="Arial" w:hAnsi="Arial"/>
                <w:sz w:val="14"/>
                <w:szCs w:val="14"/>
                <w:color w:val="FFFFFF"/>
              </w:rPr>
              <w:t>Name</w:t>
            </w:r>
          </w:p>
        </w:tc>
        <w:tc>
          <w:tcPr>
            <w:tcW w:w="2880" w:type="dxa"/>
            <w:vAlign w:val="bottom"/>
            <w:shd w:val="clear" w:color="auto" w:fill="1077A9"/>
          </w:tcPr>
          <w:p>
            <w:pPr>
              <w:jc w:val="center"/>
              <w:ind w:left="1009"/>
              <w:spacing w:after="0"/>
              <w:rPr>
                <w:sz w:val="20"/>
                <w:szCs w:val="20"/>
                <w:color w:val="auto"/>
              </w:rPr>
            </w:pPr>
            <w:r>
              <w:rPr>
                <w:rFonts w:ascii="Arial" w:cs="Arial" w:eastAsia="Arial" w:hAnsi="Arial"/>
                <w:sz w:val="14"/>
                <w:szCs w:val="14"/>
                <w:color w:val="FFFFFF"/>
              </w:rPr>
              <w:t>Fees Earned or</w:t>
            </w:r>
          </w:p>
        </w:tc>
        <w:tc>
          <w:tcPr>
            <w:tcW w:w="1740" w:type="dxa"/>
            <w:vAlign w:val="bottom"/>
            <w:vMerge w:val="restart"/>
            <w:shd w:val="clear" w:color="auto" w:fill="1077A9"/>
          </w:tcPr>
          <w:p>
            <w:pPr>
              <w:jc w:val="right"/>
              <w:ind w:right="168"/>
              <w:spacing w:after="0"/>
              <w:rPr>
                <w:sz w:val="20"/>
                <w:szCs w:val="20"/>
                <w:color w:val="auto"/>
              </w:rPr>
            </w:pPr>
            <w:r>
              <w:rPr>
                <w:rFonts w:ascii="Arial" w:cs="Arial" w:eastAsia="Arial" w:hAnsi="Arial"/>
                <w:sz w:val="14"/>
                <w:szCs w:val="14"/>
                <w:color w:val="FFFFFF"/>
              </w:rPr>
              <w:t>Stock Awards ($)</w:t>
            </w:r>
            <w:r>
              <w:rPr>
                <w:rFonts w:ascii="Arial" w:cs="Arial" w:eastAsia="Arial" w:hAnsi="Arial"/>
                <w:sz w:val="23"/>
                <w:szCs w:val="23"/>
                <w:color w:val="FFFFFF"/>
                <w:vertAlign w:val="superscript"/>
              </w:rPr>
              <w:t>2</w:t>
            </w:r>
          </w:p>
        </w:tc>
        <w:tc>
          <w:tcPr>
            <w:tcW w:w="1920" w:type="dxa"/>
            <w:vAlign w:val="bottom"/>
            <w:shd w:val="clear" w:color="auto" w:fill="1077A9"/>
          </w:tcPr>
          <w:p>
            <w:pPr>
              <w:jc w:val="right"/>
              <w:ind w:right="729"/>
              <w:spacing w:after="0"/>
              <w:rPr>
                <w:sz w:val="20"/>
                <w:szCs w:val="20"/>
                <w:color w:val="auto"/>
              </w:rPr>
            </w:pPr>
            <w:r>
              <w:rPr>
                <w:rFonts w:ascii="Arial" w:cs="Arial" w:eastAsia="Arial" w:hAnsi="Arial"/>
                <w:sz w:val="14"/>
                <w:szCs w:val="14"/>
                <w:color w:val="FFFFFF"/>
              </w:rPr>
              <w:t>All Other</w:t>
            </w:r>
          </w:p>
        </w:tc>
        <w:tc>
          <w:tcPr>
            <w:tcW w:w="1720" w:type="dxa"/>
            <w:vAlign w:val="bottom"/>
            <w:vMerge w:val="restart"/>
            <w:shd w:val="clear" w:color="auto" w:fill="1077A9"/>
          </w:tcPr>
          <w:p>
            <w:pPr>
              <w:jc w:val="right"/>
              <w:ind w:right="668"/>
              <w:spacing w:after="0"/>
              <w:rPr>
                <w:sz w:val="20"/>
                <w:szCs w:val="20"/>
                <w:color w:val="auto"/>
              </w:rPr>
            </w:pPr>
            <w:r>
              <w:rPr>
                <w:rFonts w:ascii="Arial" w:cs="Arial" w:eastAsia="Arial" w:hAnsi="Arial"/>
                <w:sz w:val="14"/>
                <w:szCs w:val="14"/>
                <w:color w:val="FFFFFF"/>
              </w:rPr>
              <w:t>Total ($)</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1077A9"/>
            </w:tcBorders>
            <w:vMerge w:val="continue"/>
            <w:shd w:val="clear" w:color="auto" w:fill="1077A9"/>
          </w:tcPr>
          <w:p>
            <w:pPr>
              <w:spacing w:after="0"/>
              <w:rPr>
                <w:sz w:val="13"/>
                <w:szCs w:val="13"/>
                <w:color w:val="auto"/>
              </w:rPr>
            </w:pPr>
          </w:p>
        </w:tc>
        <w:tc>
          <w:tcPr>
            <w:tcW w:w="2880" w:type="dxa"/>
            <w:vAlign w:val="bottom"/>
            <w:tcBorders>
              <w:bottom w:val="single" w:sz="8" w:color="1077A9"/>
            </w:tcBorders>
            <w:shd w:val="clear" w:color="auto" w:fill="1077A9"/>
          </w:tcPr>
          <w:p>
            <w:pPr>
              <w:jc w:val="center"/>
              <w:ind w:left="1069"/>
              <w:spacing w:after="0" w:line="156" w:lineRule="exact"/>
              <w:rPr>
                <w:sz w:val="20"/>
                <w:szCs w:val="20"/>
                <w:color w:val="auto"/>
              </w:rPr>
            </w:pPr>
            <w:r>
              <w:rPr>
                <w:rFonts w:ascii="Arial" w:cs="Arial" w:eastAsia="Arial" w:hAnsi="Arial"/>
                <w:sz w:val="12"/>
                <w:szCs w:val="12"/>
                <w:color w:val="FFFFFF"/>
              </w:rPr>
              <w:t>Paid in Cash ($)</w:t>
            </w:r>
            <w:r>
              <w:rPr>
                <w:rFonts w:ascii="Arial" w:cs="Arial" w:eastAsia="Arial" w:hAnsi="Arial"/>
                <w:sz w:val="18"/>
                <w:szCs w:val="18"/>
                <w:color w:val="FFFFFF"/>
                <w:vertAlign w:val="superscript"/>
              </w:rPr>
              <w:t>1</w:t>
            </w:r>
          </w:p>
        </w:tc>
        <w:tc>
          <w:tcPr>
            <w:tcW w:w="1740" w:type="dxa"/>
            <w:vAlign w:val="bottom"/>
            <w:tcBorders>
              <w:bottom w:val="single" w:sz="8" w:color="1077A9"/>
            </w:tcBorders>
            <w:vMerge w:val="continue"/>
            <w:shd w:val="clear" w:color="auto" w:fill="1077A9"/>
          </w:tcPr>
          <w:p>
            <w:pPr>
              <w:spacing w:after="0"/>
              <w:rPr>
                <w:sz w:val="13"/>
                <w:szCs w:val="13"/>
                <w:color w:val="auto"/>
              </w:rPr>
            </w:pPr>
          </w:p>
        </w:tc>
        <w:tc>
          <w:tcPr>
            <w:tcW w:w="1920" w:type="dxa"/>
            <w:vAlign w:val="bottom"/>
            <w:tcBorders>
              <w:bottom w:val="single" w:sz="8" w:color="1077A9"/>
            </w:tcBorders>
            <w:shd w:val="clear" w:color="auto" w:fill="1077A9"/>
          </w:tcPr>
          <w:p>
            <w:pPr>
              <w:jc w:val="center"/>
              <w:ind w:right="129"/>
              <w:spacing w:after="0" w:line="156" w:lineRule="exact"/>
              <w:rPr>
                <w:sz w:val="20"/>
                <w:szCs w:val="20"/>
                <w:color w:val="auto"/>
              </w:rPr>
            </w:pPr>
            <w:r>
              <w:rPr>
                <w:rFonts w:ascii="Arial" w:cs="Arial" w:eastAsia="Arial" w:hAnsi="Arial"/>
                <w:sz w:val="12"/>
                <w:szCs w:val="12"/>
                <w:color w:val="FFFFFF"/>
              </w:rPr>
              <w:t>Compensation ($)</w:t>
            </w:r>
            <w:r>
              <w:rPr>
                <w:rFonts w:ascii="Arial" w:cs="Arial" w:eastAsia="Arial" w:hAnsi="Arial"/>
                <w:sz w:val="18"/>
                <w:szCs w:val="18"/>
                <w:color w:val="FFFFFF"/>
                <w:vertAlign w:val="superscript"/>
              </w:rPr>
              <w:t>3</w:t>
            </w:r>
          </w:p>
        </w:tc>
        <w:tc>
          <w:tcPr>
            <w:tcW w:w="1720" w:type="dxa"/>
            <w:vAlign w:val="bottom"/>
            <w:tcBorders>
              <w:bottom w:val="single" w:sz="8" w:color="1077A9"/>
            </w:tcBorders>
            <w:vMerge w:val="continue"/>
            <w:shd w:val="clear" w:color="auto" w:fill="1077A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80"/>
              <w:spacing w:after="0"/>
              <w:rPr>
                <w:sz w:val="20"/>
                <w:szCs w:val="20"/>
                <w:color w:val="auto"/>
              </w:rPr>
            </w:pPr>
            <w:r>
              <w:rPr>
                <w:rFonts w:ascii="Arial" w:cs="Arial" w:eastAsia="Arial" w:hAnsi="Arial"/>
                <w:sz w:val="14"/>
                <w:szCs w:val="14"/>
                <w:color w:val="auto"/>
              </w:rPr>
              <w:t>Robert H. Blalock</w:t>
            </w:r>
          </w:p>
        </w:tc>
        <w:tc>
          <w:tcPr>
            <w:tcW w:w="2880" w:type="dxa"/>
            <w:vAlign w:val="bottom"/>
          </w:tcPr>
          <w:p>
            <w:pPr>
              <w:jc w:val="center"/>
              <w:ind w:left="1009"/>
              <w:spacing w:after="0"/>
              <w:rPr>
                <w:sz w:val="20"/>
                <w:szCs w:val="20"/>
                <w:color w:val="auto"/>
              </w:rPr>
            </w:pPr>
            <w:r>
              <w:rPr>
                <w:rFonts w:ascii="Arial" w:cs="Arial" w:eastAsia="Arial" w:hAnsi="Arial"/>
                <w:sz w:val="14"/>
                <w:szCs w:val="14"/>
                <w:color w:val="auto"/>
              </w:rPr>
              <w:t>$57,500</w:t>
            </w:r>
          </w:p>
        </w:tc>
        <w:tc>
          <w:tcPr>
            <w:tcW w:w="1740" w:type="dxa"/>
            <w:vAlign w:val="bottom"/>
          </w:tcPr>
          <w:p>
            <w:pPr>
              <w:jc w:val="right"/>
              <w:ind w:right="528"/>
              <w:spacing w:after="0"/>
              <w:rPr>
                <w:sz w:val="20"/>
                <w:szCs w:val="20"/>
                <w:color w:val="auto"/>
              </w:rPr>
            </w:pPr>
            <w:r>
              <w:rPr>
                <w:rFonts w:ascii="Arial" w:cs="Arial" w:eastAsia="Arial" w:hAnsi="Arial"/>
                <w:sz w:val="14"/>
                <w:szCs w:val="14"/>
                <w:color w:val="auto"/>
              </w:rPr>
              <w:t>$50,004</w:t>
            </w:r>
          </w:p>
        </w:tc>
        <w:tc>
          <w:tcPr>
            <w:tcW w:w="1920" w:type="dxa"/>
            <w:vAlign w:val="bottom"/>
          </w:tcPr>
          <w:p>
            <w:pPr>
              <w:jc w:val="center"/>
              <w:ind w:right="129"/>
              <w:spacing w:after="0"/>
              <w:rPr>
                <w:sz w:val="20"/>
                <w:szCs w:val="20"/>
                <w:color w:val="auto"/>
              </w:rPr>
            </w:pPr>
            <w:r>
              <w:rPr>
                <w:rFonts w:ascii="Arial" w:cs="Arial" w:eastAsia="Arial" w:hAnsi="Arial"/>
                <w:sz w:val="14"/>
                <w:szCs w:val="14"/>
                <w:color w:val="auto"/>
              </w:rPr>
              <w:t>$1,400</w:t>
            </w:r>
          </w:p>
        </w:tc>
        <w:tc>
          <w:tcPr>
            <w:tcW w:w="1720" w:type="dxa"/>
            <w:vAlign w:val="bottom"/>
          </w:tcPr>
          <w:p>
            <w:pPr>
              <w:jc w:val="right"/>
              <w:ind w:right="288"/>
              <w:spacing w:after="0"/>
              <w:rPr>
                <w:sz w:val="20"/>
                <w:szCs w:val="20"/>
                <w:color w:val="auto"/>
              </w:rPr>
            </w:pPr>
            <w:r>
              <w:rPr>
                <w:rFonts w:ascii="Arial" w:cs="Arial" w:eastAsia="Arial" w:hAnsi="Arial"/>
                <w:sz w:val="14"/>
                <w:szCs w:val="14"/>
                <w:color w:val="auto"/>
              </w:rPr>
              <w:t>$108,904</w:t>
            </w:r>
          </w:p>
        </w:tc>
        <w:tc>
          <w:tcPr>
            <w:tcW w:w="0" w:type="dxa"/>
            <w:vAlign w:val="bottom"/>
          </w:tcPr>
          <w:p>
            <w:pPr>
              <w:spacing w:after="0"/>
              <w:rPr>
                <w:sz w:val="1"/>
                <w:szCs w:val="1"/>
                <w:color w:val="auto"/>
              </w:rPr>
            </w:pPr>
          </w:p>
        </w:tc>
      </w:tr>
      <w:tr>
        <w:trPr>
          <w:trHeight w:val="203"/>
        </w:trPr>
        <w:tc>
          <w:tcPr>
            <w:tcW w:w="2960" w:type="dxa"/>
            <w:vAlign w:val="bottom"/>
            <w:shd w:val="clear" w:color="auto" w:fill="E5E6E6"/>
          </w:tcPr>
          <w:p>
            <w:pPr>
              <w:ind w:left="80"/>
              <w:spacing w:after="0"/>
              <w:rPr>
                <w:sz w:val="20"/>
                <w:szCs w:val="20"/>
                <w:color w:val="auto"/>
              </w:rPr>
            </w:pPr>
            <w:r>
              <w:rPr>
                <w:rFonts w:ascii="Arial" w:cs="Arial" w:eastAsia="Arial" w:hAnsi="Arial"/>
                <w:sz w:val="14"/>
                <w:szCs w:val="14"/>
                <w:color w:val="auto"/>
              </w:rPr>
              <w:t>James P. Clements</w:t>
            </w:r>
          </w:p>
        </w:tc>
        <w:tc>
          <w:tcPr>
            <w:tcW w:w="2880" w:type="dxa"/>
            <w:vAlign w:val="bottom"/>
            <w:shd w:val="clear" w:color="auto" w:fill="E5E6E6"/>
          </w:tcPr>
          <w:p>
            <w:pPr>
              <w:jc w:val="center"/>
              <w:ind w:left="1049"/>
              <w:spacing w:after="0"/>
              <w:rPr>
                <w:sz w:val="20"/>
                <w:szCs w:val="20"/>
                <w:color w:val="auto"/>
              </w:rPr>
            </w:pPr>
            <w:r>
              <w:rPr>
                <w:rFonts w:ascii="Arial" w:cs="Arial" w:eastAsia="Arial" w:hAnsi="Arial"/>
                <w:sz w:val="14"/>
                <w:szCs w:val="14"/>
                <w:color w:val="auto"/>
              </w:rPr>
              <w:t>20,000</w:t>
            </w:r>
          </w:p>
        </w:tc>
        <w:tc>
          <w:tcPr>
            <w:tcW w:w="1740" w:type="dxa"/>
            <w:vAlign w:val="bottom"/>
            <w:shd w:val="clear" w:color="auto" w:fill="E5E6E6"/>
          </w:tcPr>
          <w:p>
            <w:pPr>
              <w:jc w:val="right"/>
              <w:ind w:right="528"/>
              <w:spacing w:after="0"/>
              <w:rPr>
                <w:sz w:val="20"/>
                <w:szCs w:val="20"/>
                <w:color w:val="auto"/>
              </w:rPr>
            </w:pPr>
            <w:r>
              <w:rPr>
                <w:rFonts w:ascii="Arial" w:cs="Arial" w:eastAsia="Arial" w:hAnsi="Arial"/>
                <w:sz w:val="14"/>
                <w:szCs w:val="14"/>
                <w:color w:val="auto"/>
              </w:rPr>
              <w:t>41,668</w:t>
            </w:r>
          </w:p>
        </w:tc>
        <w:tc>
          <w:tcPr>
            <w:tcW w:w="1920" w:type="dxa"/>
            <w:vAlign w:val="bottom"/>
            <w:shd w:val="clear" w:color="auto" w:fill="E5E6E6"/>
          </w:tcPr>
          <w:p>
            <w:pPr>
              <w:jc w:val="right"/>
              <w:ind w:right="829"/>
              <w:spacing w:after="0"/>
              <w:rPr>
                <w:sz w:val="20"/>
                <w:szCs w:val="20"/>
                <w:color w:val="auto"/>
              </w:rPr>
            </w:pPr>
            <w:r>
              <w:rPr>
                <w:rFonts w:ascii="Arial" w:cs="Arial" w:eastAsia="Arial" w:hAnsi="Arial"/>
                <w:sz w:val="14"/>
                <w:szCs w:val="14"/>
                <w:color w:val="auto"/>
              </w:rPr>
              <w:t>-</w:t>
            </w:r>
          </w:p>
        </w:tc>
        <w:tc>
          <w:tcPr>
            <w:tcW w:w="17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61,668</w:t>
            </w:r>
          </w:p>
        </w:tc>
        <w:tc>
          <w:tcPr>
            <w:tcW w:w="0" w:type="dxa"/>
            <w:vAlign w:val="bottom"/>
          </w:tcPr>
          <w:p>
            <w:pPr>
              <w:spacing w:after="0"/>
              <w:rPr>
                <w:sz w:val="1"/>
                <w:szCs w:val="1"/>
                <w:color w:val="auto"/>
              </w:rPr>
            </w:pPr>
          </w:p>
        </w:tc>
      </w:tr>
      <w:tr>
        <w:trPr>
          <w:trHeight w:val="203"/>
        </w:trPr>
        <w:tc>
          <w:tcPr>
            <w:tcW w:w="2960" w:type="dxa"/>
            <w:vAlign w:val="bottom"/>
          </w:tcPr>
          <w:p>
            <w:pPr>
              <w:ind w:left="80"/>
              <w:spacing w:after="0"/>
              <w:rPr>
                <w:sz w:val="20"/>
                <w:szCs w:val="20"/>
                <w:color w:val="auto"/>
              </w:rPr>
            </w:pPr>
            <w:r>
              <w:rPr>
                <w:rFonts w:ascii="Arial" w:cs="Arial" w:eastAsia="Arial" w:hAnsi="Arial"/>
                <w:sz w:val="14"/>
                <w:szCs w:val="14"/>
                <w:color w:val="auto"/>
              </w:rPr>
              <w:t>L. Cathy Cox</w:t>
            </w:r>
          </w:p>
        </w:tc>
        <w:tc>
          <w:tcPr>
            <w:tcW w:w="2880" w:type="dxa"/>
            <w:vAlign w:val="bottom"/>
          </w:tcPr>
          <w:p>
            <w:pPr>
              <w:jc w:val="center"/>
              <w:ind w:left="1049"/>
              <w:spacing w:after="0"/>
              <w:rPr>
                <w:sz w:val="20"/>
                <w:szCs w:val="20"/>
                <w:color w:val="auto"/>
              </w:rPr>
            </w:pPr>
            <w:r>
              <w:rPr>
                <w:rFonts w:ascii="Arial" w:cs="Arial" w:eastAsia="Arial" w:hAnsi="Arial"/>
                <w:sz w:val="14"/>
                <w:szCs w:val="14"/>
                <w:color w:val="auto"/>
              </w:rPr>
              <w:t>61,500</w:t>
            </w:r>
          </w:p>
        </w:tc>
        <w:tc>
          <w:tcPr>
            <w:tcW w:w="1740" w:type="dxa"/>
            <w:vAlign w:val="bottom"/>
          </w:tcPr>
          <w:p>
            <w:pPr>
              <w:jc w:val="right"/>
              <w:ind w:right="528"/>
              <w:spacing w:after="0"/>
              <w:rPr>
                <w:sz w:val="20"/>
                <w:szCs w:val="20"/>
                <w:color w:val="auto"/>
              </w:rPr>
            </w:pPr>
            <w:r>
              <w:rPr>
                <w:rFonts w:ascii="Arial" w:cs="Arial" w:eastAsia="Arial" w:hAnsi="Arial"/>
                <w:sz w:val="14"/>
                <w:szCs w:val="14"/>
                <w:color w:val="auto"/>
              </w:rPr>
              <w:t>50,004</w:t>
            </w:r>
          </w:p>
        </w:tc>
        <w:tc>
          <w:tcPr>
            <w:tcW w:w="1920" w:type="dxa"/>
            <w:vAlign w:val="bottom"/>
          </w:tcPr>
          <w:p>
            <w:pPr>
              <w:jc w:val="right"/>
              <w:ind w:right="829"/>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88"/>
              <w:spacing w:after="0"/>
              <w:rPr>
                <w:sz w:val="20"/>
                <w:szCs w:val="20"/>
                <w:color w:val="auto"/>
              </w:rPr>
            </w:pPr>
            <w:r>
              <w:rPr>
                <w:rFonts w:ascii="Arial" w:cs="Arial" w:eastAsia="Arial" w:hAnsi="Arial"/>
                <w:sz w:val="14"/>
                <w:szCs w:val="14"/>
                <w:color w:val="auto"/>
              </w:rPr>
              <w:t>111,504</w:t>
            </w:r>
          </w:p>
        </w:tc>
        <w:tc>
          <w:tcPr>
            <w:tcW w:w="0" w:type="dxa"/>
            <w:vAlign w:val="bottom"/>
          </w:tcPr>
          <w:p>
            <w:pPr>
              <w:spacing w:after="0"/>
              <w:rPr>
                <w:sz w:val="1"/>
                <w:szCs w:val="1"/>
                <w:color w:val="auto"/>
              </w:rPr>
            </w:pPr>
          </w:p>
        </w:tc>
      </w:tr>
      <w:tr>
        <w:trPr>
          <w:trHeight w:val="202"/>
        </w:trPr>
        <w:tc>
          <w:tcPr>
            <w:tcW w:w="2960" w:type="dxa"/>
            <w:vAlign w:val="bottom"/>
            <w:shd w:val="clear" w:color="auto" w:fill="E5E6E6"/>
          </w:tcPr>
          <w:p>
            <w:pPr>
              <w:ind w:left="80"/>
              <w:spacing w:after="0"/>
              <w:rPr>
                <w:sz w:val="20"/>
                <w:szCs w:val="20"/>
                <w:color w:val="auto"/>
              </w:rPr>
            </w:pPr>
            <w:r>
              <w:rPr>
                <w:rFonts w:ascii="Arial" w:cs="Arial" w:eastAsia="Arial" w:hAnsi="Arial"/>
                <w:sz w:val="14"/>
                <w:szCs w:val="14"/>
                <w:color w:val="auto"/>
              </w:rPr>
              <w:t>Kenneth L. Daniels</w:t>
            </w:r>
          </w:p>
        </w:tc>
        <w:tc>
          <w:tcPr>
            <w:tcW w:w="2880" w:type="dxa"/>
            <w:vAlign w:val="bottom"/>
            <w:shd w:val="clear" w:color="auto" w:fill="E5E6E6"/>
          </w:tcPr>
          <w:p>
            <w:pPr>
              <w:jc w:val="center"/>
              <w:ind w:left="1049"/>
              <w:spacing w:after="0"/>
              <w:rPr>
                <w:sz w:val="20"/>
                <w:szCs w:val="20"/>
                <w:color w:val="auto"/>
              </w:rPr>
            </w:pPr>
            <w:r>
              <w:rPr>
                <w:rFonts w:ascii="Arial" w:cs="Arial" w:eastAsia="Arial" w:hAnsi="Arial"/>
                <w:sz w:val="14"/>
                <w:szCs w:val="14"/>
                <w:color w:val="auto"/>
              </w:rPr>
              <w:t>81,000</w:t>
            </w:r>
          </w:p>
        </w:tc>
        <w:tc>
          <w:tcPr>
            <w:tcW w:w="1740" w:type="dxa"/>
            <w:vAlign w:val="bottom"/>
            <w:shd w:val="clear" w:color="auto" w:fill="E5E6E6"/>
          </w:tcPr>
          <w:p>
            <w:pPr>
              <w:jc w:val="right"/>
              <w:ind w:right="528"/>
              <w:spacing w:after="0"/>
              <w:rPr>
                <w:sz w:val="20"/>
                <w:szCs w:val="20"/>
                <w:color w:val="auto"/>
              </w:rPr>
            </w:pPr>
            <w:r>
              <w:rPr>
                <w:rFonts w:ascii="Arial" w:cs="Arial" w:eastAsia="Arial" w:hAnsi="Arial"/>
                <w:sz w:val="14"/>
                <w:szCs w:val="14"/>
                <w:color w:val="auto"/>
              </w:rPr>
              <w:t>50,004</w:t>
            </w:r>
          </w:p>
        </w:tc>
        <w:tc>
          <w:tcPr>
            <w:tcW w:w="1920" w:type="dxa"/>
            <w:vAlign w:val="bottom"/>
            <w:shd w:val="clear" w:color="auto" w:fill="E5E6E6"/>
          </w:tcPr>
          <w:p>
            <w:pPr>
              <w:jc w:val="right"/>
              <w:ind w:right="829"/>
              <w:spacing w:after="0"/>
              <w:rPr>
                <w:sz w:val="20"/>
                <w:szCs w:val="20"/>
                <w:color w:val="auto"/>
              </w:rPr>
            </w:pPr>
            <w:r>
              <w:rPr>
                <w:rFonts w:ascii="Arial" w:cs="Arial" w:eastAsia="Arial" w:hAnsi="Arial"/>
                <w:sz w:val="14"/>
                <w:szCs w:val="14"/>
                <w:color w:val="auto"/>
              </w:rPr>
              <w:t>-</w:t>
            </w:r>
          </w:p>
        </w:tc>
        <w:tc>
          <w:tcPr>
            <w:tcW w:w="17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131,004</w:t>
            </w:r>
          </w:p>
        </w:tc>
        <w:tc>
          <w:tcPr>
            <w:tcW w:w="0" w:type="dxa"/>
            <w:vAlign w:val="bottom"/>
          </w:tcPr>
          <w:p>
            <w:pPr>
              <w:spacing w:after="0"/>
              <w:rPr>
                <w:sz w:val="1"/>
                <w:szCs w:val="1"/>
                <w:color w:val="auto"/>
              </w:rPr>
            </w:pPr>
          </w:p>
        </w:tc>
      </w:tr>
      <w:tr>
        <w:trPr>
          <w:trHeight w:val="203"/>
        </w:trPr>
        <w:tc>
          <w:tcPr>
            <w:tcW w:w="2960" w:type="dxa"/>
            <w:vAlign w:val="bottom"/>
          </w:tcPr>
          <w:p>
            <w:pPr>
              <w:ind w:left="80"/>
              <w:spacing w:after="0"/>
              <w:rPr>
                <w:sz w:val="20"/>
                <w:szCs w:val="20"/>
                <w:color w:val="auto"/>
              </w:rPr>
            </w:pPr>
            <w:r>
              <w:rPr>
                <w:rFonts w:ascii="Arial" w:cs="Arial" w:eastAsia="Arial" w:hAnsi="Arial"/>
                <w:sz w:val="14"/>
                <w:szCs w:val="14"/>
                <w:color w:val="auto"/>
              </w:rPr>
              <w:t>Lance F. Drummond</w:t>
            </w:r>
          </w:p>
        </w:tc>
        <w:tc>
          <w:tcPr>
            <w:tcW w:w="2880" w:type="dxa"/>
            <w:vAlign w:val="bottom"/>
          </w:tcPr>
          <w:p>
            <w:pPr>
              <w:jc w:val="center"/>
              <w:ind w:left="1049"/>
              <w:spacing w:after="0"/>
              <w:rPr>
                <w:sz w:val="20"/>
                <w:szCs w:val="20"/>
                <w:color w:val="auto"/>
              </w:rPr>
            </w:pPr>
            <w:r>
              <w:rPr>
                <w:rFonts w:ascii="Arial" w:cs="Arial" w:eastAsia="Arial" w:hAnsi="Arial"/>
                <w:sz w:val="14"/>
                <w:szCs w:val="14"/>
                <w:color w:val="auto"/>
              </w:rPr>
              <w:t>67,500</w:t>
            </w:r>
          </w:p>
        </w:tc>
        <w:tc>
          <w:tcPr>
            <w:tcW w:w="1740" w:type="dxa"/>
            <w:vAlign w:val="bottom"/>
          </w:tcPr>
          <w:p>
            <w:pPr>
              <w:jc w:val="right"/>
              <w:ind w:right="528"/>
              <w:spacing w:after="0"/>
              <w:rPr>
                <w:sz w:val="20"/>
                <w:szCs w:val="20"/>
                <w:color w:val="auto"/>
              </w:rPr>
            </w:pPr>
            <w:r>
              <w:rPr>
                <w:rFonts w:ascii="Arial" w:cs="Arial" w:eastAsia="Arial" w:hAnsi="Arial"/>
                <w:sz w:val="14"/>
                <w:szCs w:val="14"/>
                <w:color w:val="auto"/>
              </w:rPr>
              <w:t>50,004</w:t>
            </w:r>
          </w:p>
        </w:tc>
        <w:tc>
          <w:tcPr>
            <w:tcW w:w="1920" w:type="dxa"/>
            <w:vAlign w:val="bottom"/>
          </w:tcPr>
          <w:p>
            <w:pPr>
              <w:jc w:val="right"/>
              <w:ind w:right="829"/>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88"/>
              <w:spacing w:after="0"/>
              <w:rPr>
                <w:sz w:val="20"/>
                <w:szCs w:val="20"/>
                <w:color w:val="auto"/>
              </w:rPr>
            </w:pPr>
            <w:r>
              <w:rPr>
                <w:rFonts w:ascii="Arial" w:cs="Arial" w:eastAsia="Arial" w:hAnsi="Arial"/>
                <w:sz w:val="14"/>
                <w:szCs w:val="14"/>
                <w:color w:val="auto"/>
              </w:rPr>
              <w:t>117,504</w:t>
            </w:r>
          </w:p>
        </w:tc>
        <w:tc>
          <w:tcPr>
            <w:tcW w:w="0" w:type="dxa"/>
            <w:vAlign w:val="bottom"/>
          </w:tcPr>
          <w:p>
            <w:pPr>
              <w:spacing w:after="0"/>
              <w:rPr>
                <w:sz w:val="1"/>
                <w:szCs w:val="1"/>
                <w:color w:val="auto"/>
              </w:rPr>
            </w:pPr>
          </w:p>
        </w:tc>
      </w:tr>
      <w:tr>
        <w:trPr>
          <w:trHeight w:val="162"/>
        </w:trPr>
        <w:tc>
          <w:tcPr>
            <w:tcW w:w="2960" w:type="dxa"/>
            <w:vAlign w:val="bottom"/>
            <w:shd w:val="clear" w:color="auto" w:fill="E5E6E6"/>
          </w:tcPr>
          <w:p>
            <w:pPr>
              <w:ind w:left="80"/>
              <w:spacing w:after="0"/>
              <w:rPr>
                <w:sz w:val="20"/>
                <w:szCs w:val="20"/>
                <w:color w:val="auto"/>
              </w:rPr>
            </w:pPr>
            <w:r>
              <w:rPr>
                <w:rFonts w:ascii="Arial" w:cs="Arial" w:eastAsia="Arial" w:hAnsi="Arial"/>
                <w:sz w:val="14"/>
                <w:szCs w:val="14"/>
                <w:color w:val="auto"/>
              </w:rPr>
              <w:t>Jennifer K. Mann</w:t>
            </w:r>
          </w:p>
        </w:tc>
        <w:tc>
          <w:tcPr>
            <w:tcW w:w="2880" w:type="dxa"/>
            <w:vAlign w:val="bottom"/>
            <w:shd w:val="clear" w:color="auto" w:fill="E5E6E6"/>
          </w:tcPr>
          <w:p>
            <w:pPr>
              <w:jc w:val="center"/>
              <w:ind w:left="1049"/>
              <w:spacing w:after="0"/>
              <w:rPr>
                <w:sz w:val="20"/>
                <w:szCs w:val="20"/>
                <w:color w:val="auto"/>
              </w:rPr>
            </w:pPr>
            <w:r>
              <w:rPr>
                <w:rFonts w:ascii="Arial" w:cs="Arial" w:eastAsia="Arial" w:hAnsi="Arial"/>
                <w:sz w:val="14"/>
                <w:szCs w:val="14"/>
                <w:color w:val="auto"/>
              </w:rPr>
              <w:t>56,000</w:t>
            </w:r>
          </w:p>
        </w:tc>
        <w:tc>
          <w:tcPr>
            <w:tcW w:w="1740" w:type="dxa"/>
            <w:vAlign w:val="bottom"/>
            <w:shd w:val="clear" w:color="auto" w:fill="E5E6E6"/>
          </w:tcPr>
          <w:p>
            <w:pPr>
              <w:jc w:val="right"/>
              <w:ind w:right="528"/>
              <w:spacing w:after="0"/>
              <w:rPr>
                <w:sz w:val="20"/>
                <w:szCs w:val="20"/>
                <w:color w:val="auto"/>
              </w:rPr>
            </w:pPr>
            <w:r>
              <w:rPr>
                <w:rFonts w:ascii="Arial" w:cs="Arial" w:eastAsia="Arial" w:hAnsi="Arial"/>
                <w:sz w:val="14"/>
                <w:szCs w:val="14"/>
                <w:color w:val="auto"/>
              </w:rPr>
              <w:t>50,004</w:t>
            </w:r>
          </w:p>
        </w:tc>
        <w:tc>
          <w:tcPr>
            <w:tcW w:w="1920" w:type="dxa"/>
            <w:vAlign w:val="bottom"/>
            <w:shd w:val="clear" w:color="auto" w:fill="E5E6E6"/>
          </w:tcPr>
          <w:p>
            <w:pPr>
              <w:jc w:val="right"/>
              <w:ind w:right="809"/>
              <w:spacing w:after="0"/>
              <w:rPr>
                <w:sz w:val="20"/>
                <w:szCs w:val="20"/>
                <w:color w:val="auto"/>
              </w:rPr>
            </w:pPr>
            <w:r>
              <w:rPr>
                <w:rFonts w:ascii="Arial" w:cs="Arial" w:eastAsia="Arial" w:hAnsi="Arial"/>
                <w:sz w:val="14"/>
                <w:szCs w:val="14"/>
                <w:color w:val="auto"/>
              </w:rPr>
              <w:t>-</w:t>
            </w:r>
          </w:p>
        </w:tc>
        <w:tc>
          <w:tcPr>
            <w:tcW w:w="17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106,004</w:t>
            </w:r>
          </w:p>
        </w:tc>
        <w:tc>
          <w:tcPr>
            <w:tcW w:w="0" w:type="dxa"/>
            <w:vAlign w:val="bottom"/>
          </w:tcPr>
          <w:p>
            <w:pPr>
              <w:spacing w:after="0"/>
              <w:rPr>
                <w:sz w:val="1"/>
                <w:szCs w:val="1"/>
                <w:color w:val="auto"/>
              </w:rPr>
            </w:pPr>
          </w:p>
        </w:tc>
      </w:tr>
      <w:tr>
        <w:trPr>
          <w:trHeight w:val="162"/>
        </w:trPr>
        <w:tc>
          <w:tcPr>
            <w:tcW w:w="2960" w:type="dxa"/>
            <w:vAlign w:val="bottom"/>
          </w:tcPr>
          <w:p>
            <w:pPr>
              <w:ind w:left="80"/>
              <w:spacing w:after="0"/>
              <w:rPr>
                <w:sz w:val="20"/>
                <w:szCs w:val="20"/>
                <w:color w:val="auto"/>
              </w:rPr>
            </w:pPr>
            <w:r>
              <w:rPr>
                <w:rFonts w:ascii="Arial" w:cs="Arial" w:eastAsia="Arial" w:hAnsi="Arial"/>
                <w:sz w:val="14"/>
                <w:szCs w:val="14"/>
                <w:color w:val="auto"/>
              </w:rPr>
              <w:t>Thomas A. Richlovsky</w:t>
            </w:r>
          </w:p>
        </w:tc>
        <w:tc>
          <w:tcPr>
            <w:tcW w:w="2880" w:type="dxa"/>
            <w:vAlign w:val="bottom"/>
          </w:tcPr>
          <w:p>
            <w:pPr>
              <w:jc w:val="center"/>
              <w:ind w:left="1049"/>
              <w:spacing w:after="0"/>
              <w:rPr>
                <w:sz w:val="20"/>
                <w:szCs w:val="20"/>
                <w:color w:val="auto"/>
              </w:rPr>
            </w:pPr>
            <w:r>
              <w:rPr>
                <w:rFonts w:ascii="Arial" w:cs="Arial" w:eastAsia="Arial" w:hAnsi="Arial"/>
                <w:sz w:val="14"/>
                <w:szCs w:val="14"/>
                <w:color w:val="auto"/>
              </w:rPr>
              <w:t>92,500</w:t>
            </w:r>
          </w:p>
        </w:tc>
        <w:tc>
          <w:tcPr>
            <w:tcW w:w="1740" w:type="dxa"/>
            <w:vAlign w:val="bottom"/>
          </w:tcPr>
          <w:p>
            <w:pPr>
              <w:jc w:val="right"/>
              <w:ind w:right="528"/>
              <w:spacing w:after="0"/>
              <w:rPr>
                <w:sz w:val="20"/>
                <w:szCs w:val="20"/>
                <w:color w:val="auto"/>
              </w:rPr>
            </w:pPr>
            <w:r>
              <w:rPr>
                <w:rFonts w:ascii="Arial" w:cs="Arial" w:eastAsia="Arial" w:hAnsi="Arial"/>
                <w:sz w:val="14"/>
                <w:szCs w:val="14"/>
                <w:color w:val="auto"/>
              </w:rPr>
              <w:t>50,004</w:t>
            </w:r>
          </w:p>
        </w:tc>
        <w:tc>
          <w:tcPr>
            <w:tcW w:w="1920" w:type="dxa"/>
            <w:vAlign w:val="bottom"/>
          </w:tcPr>
          <w:p>
            <w:pPr>
              <w:jc w:val="right"/>
              <w:ind w:right="809"/>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88"/>
              <w:spacing w:after="0"/>
              <w:rPr>
                <w:sz w:val="20"/>
                <w:szCs w:val="20"/>
                <w:color w:val="auto"/>
              </w:rPr>
            </w:pPr>
            <w:r>
              <w:rPr>
                <w:rFonts w:ascii="Arial" w:cs="Arial" w:eastAsia="Arial" w:hAnsi="Arial"/>
                <w:sz w:val="14"/>
                <w:szCs w:val="14"/>
                <w:color w:val="auto"/>
              </w:rPr>
              <w:t>142,504</w:t>
            </w:r>
          </w:p>
        </w:tc>
        <w:tc>
          <w:tcPr>
            <w:tcW w:w="0" w:type="dxa"/>
            <w:vAlign w:val="bottom"/>
          </w:tcPr>
          <w:p>
            <w:pPr>
              <w:spacing w:after="0"/>
              <w:rPr>
                <w:sz w:val="1"/>
                <w:szCs w:val="1"/>
                <w:color w:val="auto"/>
              </w:rPr>
            </w:pPr>
          </w:p>
        </w:tc>
      </w:tr>
      <w:tr>
        <w:trPr>
          <w:trHeight w:val="203"/>
        </w:trPr>
        <w:tc>
          <w:tcPr>
            <w:tcW w:w="2960" w:type="dxa"/>
            <w:vAlign w:val="bottom"/>
            <w:shd w:val="clear" w:color="auto" w:fill="E5E6E6"/>
          </w:tcPr>
          <w:p>
            <w:pPr>
              <w:ind w:left="80"/>
              <w:spacing w:after="0"/>
              <w:rPr>
                <w:sz w:val="20"/>
                <w:szCs w:val="20"/>
                <w:color w:val="auto"/>
              </w:rPr>
            </w:pPr>
            <w:r>
              <w:rPr>
                <w:rFonts w:ascii="Arial" w:cs="Arial" w:eastAsia="Arial" w:hAnsi="Arial"/>
                <w:sz w:val="14"/>
                <w:szCs w:val="14"/>
                <w:color w:val="auto"/>
              </w:rPr>
              <w:t>David C. Shaver</w:t>
            </w:r>
          </w:p>
        </w:tc>
        <w:tc>
          <w:tcPr>
            <w:tcW w:w="2880" w:type="dxa"/>
            <w:vAlign w:val="bottom"/>
            <w:shd w:val="clear" w:color="auto" w:fill="E5E6E6"/>
          </w:tcPr>
          <w:p>
            <w:pPr>
              <w:jc w:val="center"/>
              <w:ind w:left="1049"/>
              <w:spacing w:after="0"/>
              <w:rPr>
                <w:sz w:val="20"/>
                <w:szCs w:val="20"/>
                <w:color w:val="auto"/>
              </w:rPr>
            </w:pPr>
            <w:r>
              <w:rPr>
                <w:rFonts w:ascii="Arial" w:cs="Arial" w:eastAsia="Arial" w:hAnsi="Arial"/>
                <w:sz w:val="14"/>
                <w:szCs w:val="14"/>
                <w:color w:val="auto"/>
              </w:rPr>
              <w:t>68,500</w:t>
            </w:r>
          </w:p>
        </w:tc>
        <w:tc>
          <w:tcPr>
            <w:tcW w:w="1740" w:type="dxa"/>
            <w:vAlign w:val="bottom"/>
            <w:shd w:val="clear" w:color="auto" w:fill="E5E6E6"/>
          </w:tcPr>
          <w:p>
            <w:pPr>
              <w:jc w:val="right"/>
              <w:ind w:right="528"/>
              <w:spacing w:after="0"/>
              <w:rPr>
                <w:sz w:val="20"/>
                <w:szCs w:val="20"/>
                <w:color w:val="auto"/>
              </w:rPr>
            </w:pPr>
            <w:r>
              <w:rPr>
                <w:rFonts w:ascii="Arial" w:cs="Arial" w:eastAsia="Arial" w:hAnsi="Arial"/>
                <w:sz w:val="14"/>
                <w:szCs w:val="14"/>
                <w:color w:val="auto"/>
              </w:rPr>
              <w:t>50,004</w:t>
            </w:r>
          </w:p>
        </w:tc>
        <w:tc>
          <w:tcPr>
            <w:tcW w:w="1920" w:type="dxa"/>
            <w:vAlign w:val="bottom"/>
            <w:shd w:val="clear" w:color="auto" w:fill="E5E6E6"/>
          </w:tcPr>
          <w:p>
            <w:pPr>
              <w:jc w:val="center"/>
              <w:ind w:right="89"/>
              <w:spacing w:after="0"/>
              <w:rPr>
                <w:sz w:val="20"/>
                <w:szCs w:val="20"/>
                <w:color w:val="auto"/>
              </w:rPr>
            </w:pPr>
            <w:r>
              <w:rPr>
                <w:rFonts w:ascii="Arial" w:cs="Arial" w:eastAsia="Arial" w:hAnsi="Arial"/>
                <w:sz w:val="14"/>
                <w:szCs w:val="14"/>
                <w:color w:val="auto"/>
              </w:rPr>
              <w:t>1,400</w:t>
            </w:r>
          </w:p>
        </w:tc>
        <w:tc>
          <w:tcPr>
            <w:tcW w:w="17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119,904</w:t>
            </w:r>
          </w:p>
        </w:tc>
        <w:tc>
          <w:tcPr>
            <w:tcW w:w="0" w:type="dxa"/>
            <w:vAlign w:val="bottom"/>
          </w:tcPr>
          <w:p>
            <w:pPr>
              <w:spacing w:after="0"/>
              <w:rPr>
                <w:sz w:val="1"/>
                <w:szCs w:val="1"/>
                <w:color w:val="auto"/>
              </w:rPr>
            </w:pPr>
          </w:p>
        </w:tc>
      </w:tr>
      <w:tr>
        <w:trPr>
          <w:trHeight w:val="203"/>
        </w:trPr>
        <w:tc>
          <w:tcPr>
            <w:tcW w:w="2960" w:type="dxa"/>
            <w:vAlign w:val="bottom"/>
          </w:tcPr>
          <w:p>
            <w:pPr>
              <w:ind w:left="80"/>
              <w:spacing w:after="0"/>
              <w:rPr>
                <w:sz w:val="20"/>
                <w:szCs w:val="20"/>
                <w:color w:val="auto"/>
              </w:rPr>
            </w:pPr>
            <w:r>
              <w:rPr>
                <w:rFonts w:ascii="Arial" w:cs="Arial" w:eastAsia="Arial" w:hAnsi="Arial"/>
                <w:sz w:val="14"/>
                <w:szCs w:val="14"/>
                <w:color w:val="auto"/>
              </w:rPr>
              <w:t>Tim R. Wallis</w:t>
            </w:r>
          </w:p>
        </w:tc>
        <w:tc>
          <w:tcPr>
            <w:tcW w:w="2880" w:type="dxa"/>
            <w:vAlign w:val="bottom"/>
          </w:tcPr>
          <w:p>
            <w:pPr>
              <w:jc w:val="center"/>
              <w:ind w:left="1049"/>
              <w:spacing w:after="0"/>
              <w:rPr>
                <w:sz w:val="20"/>
                <w:szCs w:val="20"/>
                <w:color w:val="auto"/>
              </w:rPr>
            </w:pPr>
            <w:r>
              <w:rPr>
                <w:rFonts w:ascii="Arial" w:cs="Arial" w:eastAsia="Arial" w:hAnsi="Arial"/>
                <w:sz w:val="14"/>
                <w:szCs w:val="14"/>
                <w:color w:val="auto"/>
              </w:rPr>
              <w:t>46,000</w:t>
            </w:r>
          </w:p>
        </w:tc>
        <w:tc>
          <w:tcPr>
            <w:tcW w:w="1740" w:type="dxa"/>
            <w:vAlign w:val="bottom"/>
          </w:tcPr>
          <w:p>
            <w:pPr>
              <w:jc w:val="right"/>
              <w:ind w:right="528"/>
              <w:spacing w:after="0"/>
              <w:rPr>
                <w:sz w:val="20"/>
                <w:szCs w:val="20"/>
                <w:color w:val="auto"/>
              </w:rPr>
            </w:pPr>
            <w:r>
              <w:rPr>
                <w:rFonts w:ascii="Arial" w:cs="Arial" w:eastAsia="Arial" w:hAnsi="Arial"/>
                <w:sz w:val="14"/>
                <w:szCs w:val="14"/>
                <w:color w:val="auto"/>
              </w:rPr>
              <w:t>50,004</w:t>
            </w:r>
          </w:p>
        </w:tc>
        <w:tc>
          <w:tcPr>
            <w:tcW w:w="1920" w:type="dxa"/>
            <w:vAlign w:val="bottom"/>
          </w:tcPr>
          <w:p>
            <w:pPr>
              <w:jc w:val="center"/>
              <w:ind w:right="89"/>
              <w:spacing w:after="0"/>
              <w:rPr>
                <w:sz w:val="20"/>
                <w:szCs w:val="20"/>
                <w:color w:val="auto"/>
              </w:rPr>
            </w:pPr>
            <w:r>
              <w:rPr>
                <w:rFonts w:ascii="Arial" w:cs="Arial" w:eastAsia="Arial" w:hAnsi="Arial"/>
                <w:sz w:val="14"/>
                <w:szCs w:val="14"/>
                <w:color w:val="auto"/>
              </w:rPr>
              <w:t>1,600</w:t>
            </w:r>
          </w:p>
        </w:tc>
        <w:tc>
          <w:tcPr>
            <w:tcW w:w="1720" w:type="dxa"/>
            <w:vAlign w:val="bottom"/>
          </w:tcPr>
          <w:p>
            <w:pPr>
              <w:jc w:val="right"/>
              <w:ind w:right="288"/>
              <w:spacing w:after="0"/>
              <w:rPr>
                <w:sz w:val="20"/>
                <w:szCs w:val="20"/>
                <w:color w:val="auto"/>
              </w:rPr>
            </w:pPr>
            <w:r>
              <w:rPr>
                <w:rFonts w:ascii="Arial" w:cs="Arial" w:eastAsia="Arial" w:hAnsi="Arial"/>
                <w:sz w:val="14"/>
                <w:szCs w:val="14"/>
                <w:color w:val="auto"/>
              </w:rPr>
              <w:t>97,604</w:t>
            </w:r>
          </w:p>
        </w:tc>
        <w:tc>
          <w:tcPr>
            <w:tcW w:w="0" w:type="dxa"/>
            <w:vAlign w:val="bottom"/>
          </w:tcPr>
          <w:p>
            <w:pPr>
              <w:spacing w:after="0"/>
              <w:rPr>
                <w:sz w:val="1"/>
                <w:szCs w:val="1"/>
                <w:color w:val="auto"/>
              </w:rPr>
            </w:pPr>
          </w:p>
        </w:tc>
      </w:tr>
      <w:tr>
        <w:trPr>
          <w:trHeight w:val="162"/>
        </w:trPr>
        <w:tc>
          <w:tcPr>
            <w:tcW w:w="2960" w:type="dxa"/>
            <w:vAlign w:val="bottom"/>
            <w:shd w:val="clear" w:color="auto" w:fill="E5E6E6"/>
          </w:tcPr>
          <w:p>
            <w:pPr>
              <w:ind w:left="80"/>
              <w:spacing w:after="0"/>
              <w:rPr>
                <w:sz w:val="20"/>
                <w:szCs w:val="20"/>
                <w:color w:val="auto"/>
              </w:rPr>
            </w:pPr>
            <w:r>
              <w:rPr>
                <w:rFonts w:ascii="Arial" w:cs="Arial" w:eastAsia="Arial" w:hAnsi="Arial"/>
                <w:sz w:val="14"/>
                <w:szCs w:val="14"/>
                <w:color w:val="auto"/>
              </w:rPr>
              <w:t>Amb. David H. Wilkins</w:t>
            </w:r>
          </w:p>
        </w:tc>
        <w:tc>
          <w:tcPr>
            <w:tcW w:w="2880" w:type="dxa"/>
            <w:vAlign w:val="bottom"/>
            <w:shd w:val="clear" w:color="auto" w:fill="E5E6E6"/>
          </w:tcPr>
          <w:p>
            <w:pPr>
              <w:jc w:val="center"/>
              <w:ind w:left="1049"/>
              <w:spacing w:after="0"/>
              <w:rPr>
                <w:sz w:val="20"/>
                <w:szCs w:val="20"/>
                <w:color w:val="auto"/>
              </w:rPr>
            </w:pPr>
            <w:r>
              <w:rPr>
                <w:rFonts w:ascii="Arial" w:cs="Arial" w:eastAsia="Arial" w:hAnsi="Arial"/>
                <w:sz w:val="14"/>
                <w:szCs w:val="14"/>
                <w:color w:val="auto"/>
              </w:rPr>
              <w:t>47,500</w:t>
            </w:r>
          </w:p>
        </w:tc>
        <w:tc>
          <w:tcPr>
            <w:tcW w:w="1740" w:type="dxa"/>
            <w:vAlign w:val="bottom"/>
            <w:shd w:val="clear" w:color="auto" w:fill="E5E6E6"/>
          </w:tcPr>
          <w:p>
            <w:pPr>
              <w:jc w:val="right"/>
              <w:ind w:right="528"/>
              <w:spacing w:after="0"/>
              <w:rPr>
                <w:sz w:val="20"/>
                <w:szCs w:val="20"/>
                <w:color w:val="auto"/>
              </w:rPr>
            </w:pPr>
            <w:r>
              <w:rPr>
                <w:rFonts w:ascii="Arial" w:cs="Arial" w:eastAsia="Arial" w:hAnsi="Arial"/>
                <w:sz w:val="14"/>
                <w:szCs w:val="14"/>
                <w:color w:val="auto"/>
              </w:rPr>
              <w:t>50,004</w:t>
            </w:r>
          </w:p>
        </w:tc>
        <w:tc>
          <w:tcPr>
            <w:tcW w:w="1920" w:type="dxa"/>
            <w:vAlign w:val="bottom"/>
            <w:shd w:val="clear" w:color="auto" w:fill="E5E6E6"/>
          </w:tcPr>
          <w:p>
            <w:pPr>
              <w:jc w:val="right"/>
              <w:ind w:right="809"/>
              <w:spacing w:after="0"/>
              <w:rPr>
                <w:sz w:val="20"/>
                <w:szCs w:val="20"/>
                <w:color w:val="auto"/>
              </w:rPr>
            </w:pPr>
            <w:r>
              <w:rPr>
                <w:rFonts w:ascii="Arial" w:cs="Arial" w:eastAsia="Arial" w:hAnsi="Arial"/>
                <w:sz w:val="14"/>
                <w:szCs w:val="14"/>
                <w:color w:val="auto"/>
              </w:rPr>
              <w:t>-</w:t>
            </w:r>
          </w:p>
        </w:tc>
        <w:tc>
          <w:tcPr>
            <w:tcW w:w="17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97,504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20" w:right="800" w:hanging="112"/>
        <w:spacing w:after="0"/>
        <w:tabs>
          <w:tab w:leader="none" w:pos="120" w:val="left"/>
        </w:tabs>
        <w:numPr>
          <w:ilvl w:val="0"/>
          <w:numId w:val="26"/>
        </w:numPr>
        <w:rPr>
          <w:rFonts w:ascii="Arial" w:cs="Arial" w:eastAsia="Arial" w:hAnsi="Arial"/>
          <w:sz w:val="22"/>
          <w:szCs w:val="22"/>
          <w:color w:val="auto"/>
          <w:vertAlign w:val="superscript"/>
        </w:rPr>
      </w:pPr>
      <w:r>
        <w:rPr>
          <w:rFonts w:ascii="Arial" w:cs="Arial" w:eastAsia="Arial" w:hAnsi="Arial"/>
          <w:sz w:val="13"/>
          <w:szCs w:val="13"/>
          <w:color w:val="auto"/>
        </w:rPr>
        <w:t>The annual cash retainer fees may be deferred pursuant to United’s Deferred Compensation Plan. No director elected to defer his or her2020 annual director cash compensation.</w:t>
      </w:r>
    </w:p>
    <w:p>
      <w:pPr>
        <w:spacing w:after="0" w:line="71" w:lineRule="exact"/>
        <w:rPr>
          <w:sz w:val="20"/>
          <w:szCs w:val="20"/>
          <w:color w:val="auto"/>
        </w:rPr>
      </w:pPr>
    </w:p>
    <w:p>
      <w:pPr>
        <w:ind w:left="120" w:right="20" w:hanging="112"/>
        <w:spacing w:after="0" w:line="211" w:lineRule="auto"/>
        <w:tabs>
          <w:tab w:leader="none" w:pos="120" w:val="left"/>
        </w:tabs>
        <w:numPr>
          <w:ilvl w:val="0"/>
          <w:numId w:val="27"/>
        </w:numPr>
        <w:rPr>
          <w:rFonts w:ascii="Arial" w:cs="Arial" w:eastAsia="Arial" w:hAnsi="Arial"/>
          <w:sz w:val="24"/>
          <w:szCs w:val="24"/>
          <w:color w:val="auto"/>
          <w:vertAlign w:val="superscript"/>
        </w:rPr>
      </w:pPr>
      <w:r>
        <w:rPr>
          <w:rFonts w:ascii="Arial" w:cs="Arial" w:eastAsia="Arial" w:hAnsi="Arial"/>
          <w:sz w:val="14"/>
          <w:szCs w:val="14"/>
          <w:color w:val="auto"/>
        </w:rPr>
        <w:t>With the exception of Dr. Clements, this represents the grant date fair value of time-based restricted stock units awarded on June 1, 2020 (2,563 underlying shares valued at $19.51 per share, the price of United’s common stock on that date) computed in accordance with FASB ASC Topic 718. Dr. Clements’ award was prorated based on his appointment to the Board on August 5, 2020 and represents the grant date fair value of time-based restricted stock units awarded on August 5, 2020 (2,272 underlying shares valued at $18.34 per share, the price of United’s common stock on that date) computed in accordance with FASB ASC Topic 718. All director 2020 TRSU awards were outstanding as of December 31, 2020. See Note 16 of our annual consolidated financial statements included in our Annual Report on Form 10-K for the year ended December</w:t>
      </w:r>
    </w:p>
    <w:p>
      <w:pPr>
        <w:ind w:left="120"/>
        <w:spacing w:after="0" w:line="215" w:lineRule="auto"/>
        <w:rPr>
          <w:sz w:val="20"/>
          <w:szCs w:val="20"/>
          <w:color w:val="auto"/>
        </w:rPr>
      </w:pPr>
      <w:r>
        <w:rPr>
          <w:rFonts w:ascii="Arial" w:cs="Arial" w:eastAsia="Arial" w:hAnsi="Arial"/>
          <w:sz w:val="14"/>
          <w:szCs w:val="14"/>
          <w:color w:val="auto"/>
        </w:rPr>
        <w:t>31, 2020, filed with the SEC on February 25, 2021 for information regarding assumptions made in the valuation of these awards. These awards have a one-year vesting term.</w:t>
      </w:r>
    </w:p>
    <w:p>
      <w:pPr>
        <w:ind w:left="200" w:hanging="125"/>
        <w:spacing w:after="0" w:line="181" w:lineRule="auto"/>
        <w:tabs>
          <w:tab w:leader="none" w:pos="200" w:val="left"/>
        </w:tabs>
        <w:numPr>
          <w:ilvl w:val="0"/>
          <w:numId w:val="28"/>
        </w:numPr>
        <w:rPr>
          <w:rFonts w:ascii="Arial" w:cs="Arial" w:eastAsia="Arial" w:hAnsi="Arial"/>
          <w:sz w:val="22"/>
          <w:szCs w:val="22"/>
          <w:color w:val="auto"/>
          <w:vertAlign w:val="superscript"/>
        </w:rPr>
      </w:pPr>
      <w:r>
        <w:rPr>
          <w:rFonts w:ascii="Arial" w:cs="Arial" w:eastAsia="Arial" w:hAnsi="Arial"/>
          <w:sz w:val="13"/>
          <w:szCs w:val="13"/>
          <w:color w:val="auto"/>
        </w:rPr>
        <w:t>Represents fees paid for service on one or more of our Bank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41910</wp:posOffset>
            </wp:positionV>
            <wp:extent cx="70891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2"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Nonemployee directors received an annual cash retainer fee for their service on the Board as well as incremental annual cash retainer fees relative to committee duties and responsibilities. Cash retainer fees are paid quarterly. The following table summarizes 2020 components of annual director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94615</wp:posOffset>
            </wp:positionV>
            <wp:extent cx="8255" cy="308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94615</wp:posOffset>
            </wp:positionV>
            <wp:extent cx="8255" cy="308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60" w:type="dxa"/>
            <w:vAlign w:val="bottom"/>
            <w:shd w:val="clear" w:color="auto" w:fill="1077A9"/>
          </w:tcPr>
          <w:p>
            <w:pPr>
              <w:spacing w:after="0"/>
              <w:rPr>
                <w:sz w:val="14"/>
                <w:szCs w:val="14"/>
                <w:color w:val="auto"/>
              </w:rPr>
            </w:pPr>
          </w:p>
        </w:tc>
        <w:tc>
          <w:tcPr>
            <w:tcW w:w="3500" w:type="dxa"/>
            <w:vAlign w:val="bottom"/>
            <w:shd w:val="clear" w:color="auto" w:fill="1077A9"/>
          </w:tcPr>
          <w:p>
            <w:pPr>
              <w:jc w:val="center"/>
              <w:ind w:left="1868"/>
              <w:spacing w:after="0"/>
              <w:rPr>
                <w:sz w:val="20"/>
                <w:szCs w:val="20"/>
                <w:color w:val="auto"/>
              </w:rPr>
            </w:pPr>
            <w:r>
              <w:rPr>
                <w:rFonts w:ascii="Arial" w:cs="Arial" w:eastAsia="Arial" w:hAnsi="Arial"/>
                <w:sz w:val="14"/>
                <w:szCs w:val="14"/>
                <w:color w:val="FFFFFF"/>
              </w:rPr>
              <w:t>Effective</w:t>
            </w:r>
          </w:p>
        </w:tc>
        <w:tc>
          <w:tcPr>
            <w:tcW w:w="158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Effective</w:t>
            </w:r>
          </w:p>
        </w:tc>
      </w:tr>
      <w:tr>
        <w:trPr>
          <w:trHeight w:val="162"/>
        </w:trPr>
        <w:tc>
          <w:tcPr>
            <w:tcW w:w="6160" w:type="dxa"/>
            <w:vAlign w:val="bottom"/>
            <w:shd w:val="clear" w:color="auto" w:fill="1077A9"/>
          </w:tcPr>
          <w:p>
            <w:pPr>
              <w:spacing w:after="0"/>
              <w:rPr>
                <w:sz w:val="14"/>
                <w:szCs w:val="14"/>
                <w:color w:val="auto"/>
              </w:rPr>
            </w:pPr>
          </w:p>
        </w:tc>
        <w:tc>
          <w:tcPr>
            <w:tcW w:w="3500" w:type="dxa"/>
            <w:vAlign w:val="bottom"/>
            <w:shd w:val="clear" w:color="auto" w:fill="1077A9"/>
          </w:tcPr>
          <w:p>
            <w:pPr>
              <w:jc w:val="center"/>
              <w:ind w:left="1848"/>
              <w:spacing w:after="0"/>
              <w:rPr>
                <w:sz w:val="20"/>
                <w:szCs w:val="20"/>
                <w:color w:val="auto"/>
              </w:rPr>
            </w:pPr>
            <w:r>
              <w:rPr>
                <w:rFonts w:ascii="Arial" w:cs="Arial" w:eastAsia="Arial" w:hAnsi="Arial"/>
                <w:sz w:val="14"/>
                <w:szCs w:val="14"/>
                <w:color w:val="FFFFFF"/>
              </w:rPr>
              <w:t>as of 1Q2020</w:t>
            </w:r>
          </w:p>
        </w:tc>
        <w:tc>
          <w:tcPr>
            <w:tcW w:w="158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as of 3Q2020</w:t>
            </w:r>
          </w:p>
        </w:tc>
      </w:tr>
      <w:tr>
        <w:trPr>
          <w:trHeight w:val="157"/>
        </w:trPr>
        <w:tc>
          <w:tcPr>
            <w:tcW w:w="6160" w:type="dxa"/>
            <w:vAlign w:val="bottom"/>
            <w:shd w:val="clear" w:color="auto" w:fill="1077A9"/>
          </w:tcPr>
          <w:p>
            <w:pPr>
              <w:spacing w:after="0"/>
              <w:rPr>
                <w:sz w:val="13"/>
                <w:szCs w:val="13"/>
                <w:color w:val="auto"/>
              </w:rPr>
            </w:pPr>
          </w:p>
        </w:tc>
        <w:tc>
          <w:tcPr>
            <w:tcW w:w="3500" w:type="dxa"/>
            <w:vAlign w:val="bottom"/>
            <w:shd w:val="clear" w:color="auto" w:fill="1077A9"/>
          </w:tcPr>
          <w:p>
            <w:pPr>
              <w:jc w:val="center"/>
              <w:ind w:left="1888"/>
              <w:spacing w:after="0" w:line="157" w:lineRule="exact"/>
              <w:rPr>
                <w:sz w:val="20"/>
                <w:szCs w:val="20"/>
                <w:color w:val="auto"/>
              </w:rPr>
            </w:pPr>
            <w:r>
              <w:rPr>
                <w:rFonts w:ascii="Arial" w:cs="Arial" w:eastAsia="Arial" w:hAnsi="Arial"/>
                <w:sz w:val="14"/>
                <w:szCs w:val="14"/>
                <w:color w:val="FFFFFF"/>
              </w:rPr>
              <w:t>Payment ($)</w:t>
            </w:r>
          </w:p>
        </w:tc>
        <w:tc>
          <w:tcPr>
            <w:tcW w:w="1580" w:type="dxa"/>
            <w:vAlign w:val="bottom"/>
            <w:shd w:val="clear" w:color="auto" w:fill="1077A9"/>
          </w:tcPr>
          <w:p>
            <w:pPr>
              <w:jc w:val="center"/>
              <w:spacing w:after="0" w:line="157" w:lineRule="exact"/>
              <w:rPr>
                <w:sz w:val="20"/>
                <w:szCs w:val="20"/>
                <w:color w:val="auto"/>
              </w:rPr>
            </w:pPr>
            <w:r>
              <w:rPr>
                <w:rFonts w:ascii="Arial" w:cs="Arial" w:eastAsia="Arial" w:hAnsi="Arial"/>
                <w:sz w:val="14"/>
                <w:szCs w:val="14"/>
                <w:color w:val="FFFFFF"/>
              </w:rPr>
              <w:t>Payment ($)</w:t>
            </w:r>
          </w:p>
        </w:tc>
      </w:tr>
      <w:tr>
        <w:trPr>
          <w:trHeight w:val="162"/>
        </w:trPr>
        <w:tc>
          <w:tcPr>
            <w:tcW w:w="6160" w:type="dxa"/>
            <w:vAlign w:val="bottom"/>
          </w:tcPr>
          <w:p>
            <w:pPr>
              <w:ind w:left="60"/>
              <w:spacing w:after="0"/>
              <w:rPr>
                <w:sz w:val="20"/>
                <w:szCs w:val="20"/>
                <w:color w:val="auto"/>
              </w:rPr>
            </w:pPr>
            <w:r>
              <w:rPr>
                <w:rFonts w:ascii="Arial" w:cs="Arial" w:eastAsia="Arial" w:hAnsi="Arial"/>
                <w:sz w:val="14"/>
                <w:szCs w:val="14"/>
                <w:color w:val="auto"/>
              </w:rPr>
              <w:t>Director</w:t>
            </w:r>
          </w:p>
        </w:tc>
        <w:tc>
          <w:tcPr>
            <w:tcW w:w="3500" w:type="dxa"/>
            <w:vAlign w:val="bottom"/>
          </w:tcPr>
          <w:p>
            <w:pPr>
              <w:jc w:val="center"/>
              <w:ind w:left="1868"/>
              <w:spacing w:after="0"/>
              <w:rPr>
                <w:sz w:val="20"/>
                <w:szCs w:val="20"/>
                <w:color w:val="auto"/>
              </w:rPr>
            </w:pPr>
            <w:r>
              <w:rPr>
                <w:rFonts w:ascii="Arial" w:cs="Arial" w:eastAsia="Arial" w:hAnsi="Arial"/>
                <w:sz w:val="14"/>
                <w:szCs w:val="14"/>
                <w:color w:val="auto"/>
              </w:rPr>
              <w:t>$40,000</w:t>
            </w:r>
          </w:p>
        </w:tc>
        <w:tc>
          <w:tcPr>
            <w:tcW w:w="1580" w:type="dxa"/>
            <w:vAlign w:val="bottom"/>
          </w:tcPr>
          <w:p>
            <w:pPr>
              <w:jc w:val="center"/>
              <w:spacing w:after="0"/>
              <w:rPr>
                <w:sz w:val="20"/>
                <w:szCs w:val="20"/>
                <w:color w:val="auto"/>
              </w:rPr>
            </w:pPr>
            <w:r>
              <w:rPr>
                <w:rFonts w:ascii="Arial" w:cs="Arial" w:eastAsia="Arial" w:hAnsi="Arial"/>
                <w:sz w:val="14"/>
                <w:szCs w:val="14"/>
                <w:color w:val="auto"/>
              </w:rPr>
              <w:t>$40,000</w:t>
            </w:r>
          </w:p>
        </w:tc>
      </w:tr>
      <w:tr>
        <w:trPr>
          <w:trHeight w:val="162"/>
        </w:trPr>
        <w:tc>
          <w:tcPr>
            <w:tcW w:w="6160" w:type="dxa"/>
            <w:vAlign w:val="bottom"/>
            <w:shd w:val="clear" w:color="auto" w:fill="E5E6E6"/>
          </w:tcPr>
          <w:p>
            <w:pPr>
              <w:ind w:left="60"/>
              <w:spacing w:after="0"/>
              <w:rPr>
                <w:sz w:val="20"/>
                <w:szCs w:val="20"/>
                <w:color w:val="auto"/>
              </w:rPr>
            </w:pPr>
            <w:r>
              <w:rPr>
                <w:rFonts w:ascii="Arial" w:cs="Arial" w:eastAsia="Arial" w:hAnsi="Arial"/>
                <w:sz w:val="14"/>
                <w:szCs w:val="14"/>
                <w:color w:val="auto"/>
              </w:rPr>
              <w:t>Lead Director</w:t>
            </w:r>
          </w:p>
        </w:tc>
        <w:tc>
          <w:tcPr>
            <w:tcW w:w="3500" w:type="dxa"/>
            <w:vAlign w:val="bottom"/>
            <w:shd w:val="clear" w:color="auto" w:fill="E5E6E6"/>
          </w:tcPr>
          <w:p>
            <w:pPr>
              <w:jc w:val="right"/>
              <w:ind w:right="468"/>
              <w:spacing w:after="0"/>
              <w:rPr>
                <w:sz w:val="20"/>
                <w:szCs w:val="20"/>
                <w:color w:val="auto"/>
              </w:rPr>
            </w:pPr>
            <w:r>
              <w:rPr>
                <w:rFonts w:ascii="Arial" w:cs="Arial" w:eastAsia="Arial" w:hAnsi="Arial"/>
                <w:sz w:val="14"/>
                <w:szCs w:val="14"/>
                <w:color w:val="auto"/>
              </w:rPr>
              <w:t>25,000</w:t>
            </w:r>
          </w:p>
        </w:tc>
        <w:tc>
          <w:tcPr>
            <w:tcW w:w="1580" w:type="dxa"/>
            <w:vAlign w:val="bottom"/>
            <w:shd w:val="clear" w:color="auto" w:fill="E5E6E6"/>
          </w:tcPr>
          <w:p>
            <w:pPr>
              <w:jc w:val="right"/>
              <w:ind w:right="489"/>
              <w:spacing w:after="0"/>
              <w:rPr>
                <w:sz w:val="20"/>
                <w:szCs w:val="20"/>
                <w:color w:val="auto"/>
              </w:rPr>
            </w:pPr>
            <w:r>
              <w:rPr>
                <w:rFonts w:ascii="Arial" w:cs="Arial" w:eastAsia="Arial" w:hAnsi="Arial"/>
                <w:sz w:val="14"/>
                <w:szCs w:val="14"/>
                <w:color w:val="auto"/>
              </w:rPr>
              <w:t>25,000</w:t>
            </w:r>
          </w:p>
        </w:tc>
      </w:tr>
      <w:tr>
        <w:trPr>
          <w:trHeight w:val="162"/>
        </w:trPr>
        <w:tc>
          <w:tcPr>
            <w:tcW w:w="6160" w:type="dxa"/>
            <w:vAlign w:val="bottom"/>
          </w:tcPr>
          <w:p>
            <w:pPr>
              <w:ind w:left="60"/>
              <w:spacing w:after="0"/>
              <w:rPr>
                <w:sz w:val="20"/>
                <w:szCs w:val="20"/>
                <w:color w:val="auto"/>
              </w:rPr>
            </w:pPr>
            <w:r>
              <w:rPr>
                <w:rFonts w:ascii="Arial" w:cs="Arial" w:eastAsia="Arial" w:hAnsi="Arial"/>
                <w:sz w:val="14"/>
                <w:szCs w:val="14"/>
                <w:color w:val="auto"/>
              </w:rPr>
              <w:t>Audit Committee Member</w:t>
            </w:r>
          </w:p>
        </w:tc>
        <w:tc>
          <w:tcPr>
            <w:tcW w:w="3500" w:type="dxa"/>
            <w:vAlign w:val="bottom"/>
          </w:tcPr>
          <w:p>
            <w:pPr>
              <w:jc w:val="right"/>
              <w:ind w:right="468"/>
              <w:spacing w:after="0"/>
              <w:rPr>
                <w:sz w:val="20"/>
                <w:szCs w:val="20"/>
                <w:color w:val="auto"/>
              </w:rPr>
            </w:pPr>
            <w:r>
              <w:rPr>
                <w:rFonts w:ascii="Arial" w:cs="Arial" w:eastAsia="Arial" w:hAnsi="Arial"/>
                <w:sz w:val="14"/>
                <w:szCs w:val="14"/>
                <w:color w:val="auto"/>
              </w:rPr>
              <w:t>10,000</w:t>
            </w:r>
          </w:p>
        </w:tc>
        <w:tc>
          <w:tcPr>
            <w:tcW w:w="1580" w:type="dxa"/>
            <w:vAlign w:val="bottom"/>
          </w:tcPr>
          <w:p>
            <w:pPr>
              <w:jc w:val="right"/>
              <w:ind w:right="489"/>
              <w:spacing w:after="0"/>
              <w:rPr>
                <w:sz w:val="20"/>
                <w:szCs w:val="20"/>
                <w:color w:val="auto"/>
              </w:rPr>
            </w:pPr>
            <w:r>
              <w:rPr>
                <w:rFonts w:ascii="Arial" w:cs="Arial" w:eastAsia="Arial" w:hAnsi="Arial"/>
                <w:sz w:val="14"/>
                <w:szCs w:val="14"/>
                <w:color w:val="auto"/>
              </w:rPr>
              <w:t>10,000</w:t>
            </w:r>
          </w:p>
        </w:tc>
      </w:tr>
      <w:tr>
        <w:trPr>
          <w:trHeight w:val="162"/>
        </w:trPr>
        <w:tc>
          <w:tcPr>
            <w:tcW w:w="6160" w:type="dxa"/>
            <w:vAlign w:val="bottom"/>
            <w:shd w:val="clear" w:color="auto" w:fill="E5E6E6"/>
          </w:tcPr>
          <w:p>
            <w:pPr>
              <w:ind w:left="60"/>
              <w:spacing w:after="0"/>
              <w:rPr>
                <w:sz w:val="20"/>
                <w:szCs w:val="20"/>
                <w:color w:val="auto"/>
              </w:rPr>
            </w:pPr>
            <w:r>
              <w:rPr>
                <w:rFonts w:ascii="Arial" w:cs="Arial" w:eastAsia="Arial" w:hAnsi="Arial"/>
                <w:sz w:val="14"/>
                <w:szCs w:val="14"/>
                <w:color w:val="auto"/>
              </w:rPr>
              <w:t>Audit Committee Chair</w:t>
            </w:r>
          </w:p>
        </w:tc>
        <w:tc>
          <w:tcPr>
            <w:tcW w:w="3500" w:type="dxa"/>
            <w:vAlign w:val="bottom"/>
            <w:shd w:val="clear" w:color="auto" w:fill="E5E6E6"/>
          </w:tcPr>
          <w:p>
            <w:pPr>
              <w:jc w:val="right"/>
              <w:ind w:right="468"/>
              <w:spacing w:after="0"/>
              <w:rPr>
                <w:sz w:val="20"/>
                <w:szCs w:val="20"/>
                <w:color w:val="auto"/>
              </w:rPr>
            </w:pPr>
            <w:r>
              <w:rPr>
                <w:rFonts w:ascii="Arial" w:cs="Arial" w:eastAsia="Arial" w:hAnsi="Arial"/>
                <w:sz w:val="14"/>
                <w:szCs w:val="14"/>
                <w:color w:val="auto"/>
              </w:rPr>
              <w:t>12,500</w:t>
            </w:r>
          </w:p>
        </w:tc>
        <w:tc>
          <w:tcPr>
            <w:tcW w:w="1580" w:type="dxa"/>
            <w:vAlign w:val="bottom"/>
            <w:shd w:val="clear" w:color="auto" w:fill="E5E6E6"/>
          </w:tcPr>
          <w:p>
            <w:pPr>
              <w:jc w:val="right"/>
              <w:ind w:right="489"/>
              <w:spacing w:after="0"/>
              <w:rPr>
                <w:sz w:val="20"/>
                <w:szCs w:val="20"/>
                <w:color w:val="auto"/>
              </w:rPr>
            </w:pPr>
            <w:r>
              <w:rPr>
                <w:rFonts w:ascii="Arial" w:cs="Arial" w:eastAsia="Arial" w:hAnsi="Arial"/>
                <w:sz w:val="14"/>
                <w:szCs w:val="14"/>
                <w:color w:val="auto"/>
              </w:rPr>
              <w:t>12,500</w:t>
            </w:r>
          </w:p>
        </w:tc>
      </w:tr>
      <w:tr>
        <w:trPr>
          <w:trHeight w:val="162"/>
        </w:trPr>
        <w:tc>
          <w:tcPr>
            <w:tcW w:w="6160" w:type="dxa"/>
            <w:vAlign w:val="bottom"/>
          </w:tcPr>
          <w:p>
            <w:pPr>
              <w:ind w:left="60"/>
              <w:spacing w:after="0"/>
              <w:rPr>
                <w:sz w:val="20"/>
                <w:szCs w:val="20"/>
                <w:color w:val="auto"/>
              </w:rPr>
            </w:pPr>
            <w:r>
              <w:rPr>
                <w:rFonts w:ascii="Arial" w:cs="Arial" w:eastAsia="Arial" w:hAnsi="Arial"/>
                <w:sz w:val="14"/>
                <w:szCs w:val="14"/>
                <w:color w:val="auto"/>
              </w:rPr>
              <w:t>Risk Committee Member</w:t>
            </w:r>
          </w:p>
        </w:tc>
        <w:tc>
          <w:tcPr>
            <w:tcW w:w="3500" w:type="dxa"/>
            <w:vAlign w:val="bottom"/>
          </w:tcPr>
          <w:p>
            <w:pPr>
              <w:jc w:val="right"/>
              <w:ind w:right="468"/>
              <w:spacing w:after="0"/>
              <w:rPr>
                <w:sz w:val="20"/>
                <w:szCs w:val="20"/>
                <w:color w:val="auto"/>
              </w:rPr>
            </w:pPr>
            <w:r>
              <w:rPr>
                <w:rFonts w:ascii="Arial" w:cs="Arial" w:eastAsia="Arial" w:hAnsi="Arial"/>
                <w:sz w:val="14"/>
                <w:szCs w:val="14"/>
                <w:color w:val="auto"/>
              </w:rPr>
              <w:t>10,000</w:t>
            </w:r>
          </w:p>
        </w:tc>
        <w:tc>
          <w:tcPr>
            <w:tcW w:w="1580" w:type="dxa"/>
            <w:vAlign w:val="bottom"/>
          </w:tcPr>
          <w:p>
            <w:pPr>
              <w:jc w:val="right"/>
              <w:ind w:right="489"/>
              <w:spacing w:after="0"/>
              <w:rPr>
                <w:sz w:val="20"/>
                <w:szCs w:val="20"/>
                <w:color w:val="auto"/>
              </w:rPr>
            </w:pPr>
            <w:r>
              <w:rPr>
                <w:rFonts w:ascii="Arial" w:cs="Arial" w:eastAsia="Arial" w:hAnsi="Arial"/>
                <w:sz w:val="14"/>
                <w:szCs w:val="14"/>
                <w:color w:val="auto"/>
              </w:rPr>
              <w:t>10,000</w:t>
            </w:r>
          </w:p>
        </w:tc>
      </w:tr>
      <w:tr>
        <w:trPr>
          <w:trHeight w:val="162"/>
        </w:trPr>
        <w:tc>
          <w:tcPr>
            <w:tcW w:w="6160" w:type="dxa"/>
            <w:vAlign w:val="bottom"/>
            <w:shd w:val="clear" w:color="auto" w:fill="E5E6E6"/>
          </w:tcPr>
          <w:p>
            <w:pPr>
              <w:ind w:left="60"/>
              <w:spacing w:after="0"/>
              <w:rPr>
                <w:sz w:val="20"/>
                <w:szCs w:val="20"/>
                <w:color w:val="auto"/>
              </w:rPr>
            </w:pPr>
            <w:r>
              <w:rPr>
                <w:rFonts w:ascii="Arial" w:cs="Arial" w:eastAsia="Arial" w:hAnsi="Arial"/>
                <w:sz w:val="14"/>
                <w:szCs w:val="14"/>
                <w:color w:val="auto"/>
              </w:rPr>
              <w:t>Risk Committee Chair</w:t>
            </w:r>
          </w:p>
        </w:tc>
        <w:tc>
          <w:tcPr>
            <w:tcW w:w="3500" w:type="dxa"/>
            <w:vAlign w:val="bottom"/>
            <w:shd w:val="clear" w:color="auto" w:fill="E5E6E6"/>
          </w:tcPr>
          <w:p>
            <w:pPr>
              <w:jc w:val="right"/>
              <w:ind w:right="468"/>
              <w:spacing w:after="0"/>
              <w:rPr>
                <w:sz w:val="20"/>
                <w:szCs w:val="20"/>
                <w:color w:val="auto"/>
              </w:rPr>
            </w:pPr>
            <w:r>
              <w:rPr>
                <w:rFonts w:ascii="Arial" w:cs="Arial" w:eastAsia="Arial" w:hAnsi="Arial"/>
                <w:sz w:val="14"/>
                <w:szCs w:val="14"/>
                <w:color w:val="auto"/>
              </w:rPr>
              <w:t>12,500</w:t>
            </w:r>
          </w:p>
        </w:tc>
        <w:tc>
          <w:tcPr>
            <w:tcW w:w="1580" w:type="dxa"/>
            <w:vAlign w:val="bottom"/>
            <w:shd w:val="clear" w:color="auto" w:fill="E5E6E6"/>
          </w:tcPr>
          <w:p>
            <w:pPr>
              <w:jc w:val="right"/>
              <w:ind w:right="489"/>
              <w:spacing w:after="0"/>
              <w:rPr>
                <w:sz w:val="20"/>
                <w:szCs w:val="20"/>
                <w:color w:val="auto"/>
              </w:rPr>
            </w:pPr>
            <w:r>
              <w:rPr>
                <w:rFonts w:ascii="Arial" w:cs="Arial" w:eastAsia="Arial" w:hAnsi="Arial"/>
                <w:sz w:val="14"/>
                <w:szCs w:val="14"/>
                <w:color w:val="auto"/>
              </w:rPr>
              <w:t>12,500</w:t>
            </w:r>
          </w:p>
        </w:tc>
      </w:tr>
      <w:tr>
        <w:trPr>
          <w:trHeight w:val="162"/>
        </w:trPr>
        <w:tc>
          <w:tcPr>
            <w:tcW w:w="6160" w:type="dxa"/>
            <w:vAlign w:val="bottom"/>
          </w:tcPr>
          <w:p>
            <w:pPr>
              <w:ind w:left="60"/>
              <w:spacing w:after="0"/>
              <w:rPr>
                <w:sz w:val="20"/>
                <w:szCs w:val="20"/>
                <w:color w:val="auto"/>
              </w:rPr>
            </w:pPr>
            <w:r>
              <w:rPr>
                <w:rFonts w:ascii="Arial" w:cs="Arial" w:eastAsia="Arial" w:hAnsi="Arial"/>
                <w:sz w:val="14"/>
                <w:szCs w:val="14"/>
                <w:color w:val="auto"/>
              </w:rPr>
              <w:t>Nominating and Corporate Governance Committee Member</w:t>
            </w:r>
          </w:p>
        </w:tc>
        <w:tc>
          <w:tcPr>
            <w:tcW w:w="3500" w:type="dxa"/>
            <w:vAlign w:val="bottom"/>
          </w:tcPr>
          <w:p>
            <w:pPr>
              <w:jc w:val="right"/>
              <w:ind w:right="468"/>
              <w:spacing w:after="0"/>
              <w:rPr>
                <w:sz w:val="20"/>
                <w:szCs w:val="20"/>
                <w:color w:val="auto"/>
              </w:rPr>
            </w:pPr>
            <w:r>
              <w:rPr>
                <w:rFonts w:ascii="Arial" w:cs="Arial" w:eastAsia="Arial" w:hAnsi="Arial"/>
                <w:sz w:val="14"/>
                <w:szCs w:val="14"/>
                <w:color w:val="auto"/>
              </w:rPr>
              <w:t>5,000</w:t>
            </w:r>
          </w:p>
        </w:tc>
        <w:tc>
          <w:tcPr>
            <w:tcW w:w="1580" w:type="dxa"/>
            <w:vAlign w:val="bottom"/>
          </w:tcPr>
          <w:p>
            <w:pPr>
              <w:jc w:val="right"/>
              <w:ind w:right="489"/>
              <w:spacing w:after="0"/>
              <w:rPr>
                <w:sz w:val="20"/>
                <w:szCs w:val="20"/>
                <w:color w:val="auto"/>
              </w:rPr>
            </w:pPr>
            <w:r>
              <w:rPr>
                <w:rFonts w:ascii="Arial" w:cs="Arial" w:eastAsia="Arial" w:hAnsi="Arial"/>
                <w:sz w:val="14"/>
                <w:szCs w:val="14"/>
                <w:color w:val="auto"/>
              </w:rPr>
              <w:t>5,000</w:t>
            </w:r>
          </w:p>
        </w:tc>
      </w:tr>
      <w:tr>
        <w:trPr>
          <w:trHeight w:val="162"/>
        </w:trPr>
        <w:tc>
          <w:tcPr>
            <w:tcW w:w="6160" w:type="dxa"/>
            <w:vAlign w:val="bottom"/>
            <w:shd w:val="clear" w:color="auto" w:fill="E5E6E6"/>
          </w:tcPr>
          <w:p>
            <w:pPr>
              <w:ind w:left="60"/>
              <w:spacing w:after="0"/>
              <w:rPr>
                <w:sz w:val="20"/>
                <w:szCs w:val="20"/>
                <w:color w:val="auto"/>
              </w:rPr>
            </w:pPr>
            <w:r>
              <w:rPr>
                <w:rFonts w:ascii="Arial" w:cs="Arial" w:eastAsia="Arial" w:hAnsi="Arial"/>
                <w:sz w:val="14"/>
                <w:szCs w:val="14"/>
                <w:color w:val="auto"/>
              </w:rPr>
              <w:t>Nominating and Corporate Governance Committee Chair</w:t>
            </w:r>
          </w:p>
        </w:tc>
        <w:tc>
          <w:tcPr>
            <w:tcW w:w="3500" w:type="dxa"/>
            <w:vAlign w:val="bottom"/>
            <w:shd w:val="clear" w:color="auto" w:fill="E5E6E6"/>
          </w:tcPr>
          <w:p>
            <w:pPr>
              <w:jc w:val="right"/>
              <w:ind w:right="468"/>
              <w:spacing w:after="0"/>
              <w:rPr>
                <w:sz w:val="20"/>
                <w:szCs w:val="20"/>
                <w:color w:val="auto"/>
              </w:rPr>
            </w:pPr>
            <w:r>
              <w:rPr>
                <w:rFonts w:ascii="Arial" w:cs="Arial" w:eastAsia="Arial" w:hAnsi="Arial"/>
                <w:sz w:val="14"/>
                <w:szCs w:val="14"/>
                <w:color w:val="auto"/>
              </w:rPr>
              <w:t>8,000</w:t>
            </w:r>
          </w:p>
        </w:tc>
        <w:tc>
          <w:tcPr>
            <w:tcW w:w="1580" w:type="dxa"/>
            <w:vAlign w:val="bottom"/>
            <w:shd w:val="clear" w:color="auto" w:fill="E5E6E6"/>
          </w:tcPr>
          <w:p>
            <w:pPr>
              <w:jc w:val="right"/>
              <w:ind w:right="489"/>
              <w:spacing w:after="0"/>
              <w:rPr>
                <w:sz w:val="20"/>
                <w:szCs w:val="20"/>
                <w:color w:val="auto"/>
              </w:rPr>
            </w:pPr>
            <w:r>
              <w:rPr>
                <w:rFonts w:ascii="Arial" w:cs="Arial" w:eastAsia="Arial" w:hAnsi="Arial"/>
                <w:sz w:val="14"/>
                <w:szCs w:val="14"/>
                <w:color w:val="auto"/>
              </w:rPr>
              <w:t>8,000</w:t>
            </w:r>
          </w:p>
        </w:tc>
      </w:tr>
      <w:tr>
        <w:trPr>
          <w:trHeight w:val="162"/>
        </w:trPr>
        <w:tc>
          <w:tcPr>
            <w:tcW w:w="6160" w:type="dxa"/>
            <w:vAlign w:val="bottom"/>
          </w:tcPr>
          <w:p>
            <w:pPr>
              <w:ind w:left="60"/>
              <w:spacing w:after="0"/>
              <w:rPr>
                <w:sz w:val="20"/>
                <w:szCs w:val="20"/>
                <w:color w:val="auto"/>
              </w:rPr>
            </w:pPr>
            <w:r>
              <w:rPr>
                <w:rFonts w:ascii="Arial" w:cs="Arial" w:eastAsia="Arial" w:hAnsi="Arial"/>
                <w:sz w:val="14"/>
                <w:szCs w:val="14"/>
                <w:color w:val="auto"/>
              </w:rPr>
              <w:t>Talent and Compensation Committee Member</w:t>
            </w:r>
          </w:p>
        </w:tc>
        <w:tc>
          <w:tcPr>
            <w:tcW w:w="3500" w:type="dxa"/>
            <w:vAlign w:val="bottom"/>
          </w:tcPr>
          <w:p>
            <w:pPr>
              <w:jc w:val="right"/>
              <w:ind w:right="468"/>
              <w:spacing w:after="0"/>
              <w:rPr>
                <w:sz w:val="20"/>
                <w:szCs w:val="20"/>
                <w:color w:val="auto"/>
              </w:rPr>
            </w:pPr>
            <w:r>
              <w:rPr>
                <w:rFonts w:ascii="Arial" w:cs="Arial" w:eastAsia="Arial" w:hAnsi="Arial"/>
                <w:sz w:val="14"/>
                <w:szCs w:val="14"/>
                <w:color w:val="auto"/>
              </w:rPr>
              <w:t>6,000</w:t>
            </w:r>
          </w:p>
        </w:tc>
        <w:tc>
          <w:tcPr>
            <w:tcW w:w="1580" w:type="dxa"/>
            <w:vAlign w:val="bottom"/>
          </w:tcPr>
          <w:p>
            <w:pPr>
              <w:jc w:val="right"/>
              <w:ind w:right="489"/>
              <w:spacing w:after="0"/>
              <w:rPr>
                <w:sz w:val="20"/>
                <w:szCs w:val="20"/>
                <w:color w:val="auto"/>
              </w:rPr>
            </w:pPr>
            <w:r>
              <w:rPr>
                <w:rFonts w:ascii="Arial" w:cs="Arial" w:eastAsia="Arial" w:hAnsi="Arial"/>
                <w:sz w:val="14"/>
                <w:szCs w:val="14"/>
                <w:color w:val="auto"/>
              </w:rPr>
              <w:t>6,000</w:t>
            </w:r>
          </w:p>
        </w:tc>
      </w:tr>
      <w:tr>
        <w:trPr>
          <w:trHeight w:val="162"/>
        </w:trPr>
        <w:tc>
          <w:tcPr>
            <w:tcW w:w="6160" w:type="dxa"/>
            <w:vAlign w:val="bottom"/>
            <w:shd w:val="clear" w:color="auto" w:fill="E5E6E6"/>
          </w:tcPr>
          <w:p>
            <w:pPr>
              <w:ind w:left="60"/>
              <w:spacing w:after="0"/>
              <w:rPr>
                <w:sz w:val="20"/>
                <w:szCs w:val="20"/>
                <w:color w:val="auto"/>
              </w:rPr>
            </w:pPr>
            <w:r>
              <w:rPr>
                <w:rFonts w:ascii="Arial" w:cs="Arial" w:eastAsia="Arial" w:hAnsi="Arial"/>
                <w:sz w:val="14"/>
                <w:szCs w:val="14"/>
                <w:color w:val="auto"/>
              </w:rPr>
              <w:t>Talent and Compensation Committee Chair</w:t>
            </w:r>
          </w:p>
        </w:tc>
        <w:tc>
          <w:tcPr>
            <w:tcW w:w="3500" w:type="dxa"/>
            <w:vAlign w:val="bottom"/>
            <w:shd w:val="clear" w:color="auto" w:fill="E5E6E6"/>
          </w:tcPr>
          <w:p>
            <w:pPr>
              <w:jc w:val="right"/>
              <w:ind w:right="468"/>
              <w:spacing w:after="0"/>
              <w:rPr>
                <w:sz w:val="20"/>
                <w:szCs w:val="20"/>
                <w:color w:val="auto"/>
              </w:rPr>
            </w:pPr>
            <w:r>
              <w:rPr>
                <w:rFonts w:ascii="Arial" w:cs="Arial" w:eastAsia="Arial" w:hAnsi="Arial"/>
                <w:sz w:val="14"/>
                <w:szCs w:val="14"/>
                <w:color w:val="auto"/>
              </w:rPr>
              <w:t>10,000</w:t>
            </w:r>
          </w:p>
        </w:tc>
        <w:tc>
          <w:tcPr>
            <w:tcW w:w="1580" w:type="dxa"/>
            <w:vAlign w:val="bottom"/>
            <w:shd w:val="clear" w:color="auto" w:fill="E5E6E6"/>
          </w:tcPr>
          <w:p>
            <w:pPr>
              <w:jc w:val="right"/>
              <w:ind w:right="489"/>
              <w:spacing w:after="0"/>
              <w:rPr>
                <w:sz w:val="20"/>
                <w:szCs w:val="20"/>
                <w:color w:val="auto"/>
              </w:rPr>
            </w:pPr>
            <w:r>
              <w:rPr>
                <w:rFonts w:ascii="Arial" w:cs="Arial" w:eastAsia="Arial" w:hAnsi="Arial"/>
                <w:sz w:val="14"/>
                <w:szCs w:val="14"/>
                <w:color w:val="auto"/>
              </w:rPr>
              <w:t>10,000</w:t>
            </w:r>
          </w:p>
        </w:tc>
      </w:tr>
      <w:tr>
        <w:trPr>
          <w:trHeight w:val="162"/>
        </w:trPr>
        <w:tc>
          <w:tcPr>
            <w:tcW w:w="6160" w:type="dxa"/>
            <w:vAlign w:val="bottom"/>
          </w:tcPr>
          <w:p>
            <w:pPr>
              <w:ind w:left="60"/>
              <w:spacing w:after="0"/>
              <w:rPr>
                <w:sz w:val="20"/>
                <w:szCs w:val="20"/>
                <w:color w:val="auto"/>
              </w:rPr>
            </w:pPr>
            <w:r>
              <w:rPr>
                <w:rFonts w:ascii="Arial" w:cs="Arial" w:eastAsia="Arial" w:hAnsi="Arial"/>
                <w:sz w:val="14"/>
                <w:szCs w:val="14"/>
                <w:color w:val="auto"/>
              </w:rPr>
              <w:t>Executive Committee Member</w:t>
            </w:r>
          </w:p>
        </w:tc>
        <w:tc>
          <w:tcPr>
            <w:tcW w:w="3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9"/>
              <w:spacing w:after="0"/>
              <w:rPr>
                <w:sz w:val="20"/>
                <w:szCs w:val="20"/>
                <w:color w:val="auto"/>
              </w:rPr>
            </w:pPr>
            <w:r>
              <w:rPr>
                <w:rFonts w:ascii="Arial" w:cs="Arial" w:eastAsia="Arial" w:hAnsi="Arial"/>
                <w:sz w:val="14"/>
                <w:szCs w:val="14"/>
                <w:color w:val="auto"/>
              </w:rPr>
              <w:t>5,000</w:t>
            </w:r>
          </w:p>
        </w:tc>
      </w:tr>
      <w:tr>
        <w:trPr>
          <w:trHeight w:val="162"/>
        </w:trPr>
        <w:tc>
          <w:tcPr>
            <w:tcW w:w="6160" w:type="dxa"/>
            <w:vAlign w:val="bottom"/>
            <w:shd w:val="clear" w:color="auto" w:fill="E5E6E6"/>
          </w:tcPr>
          <w:p>
            <w:pPr>
              <w:ind w:left="60"/>
              <w:spacing w:after="0"/>
              <w:rPr>
                <w:sz w:val="20"/>
                <w:szCs w:val="20"/>
                <w:color w:val="auto"/>
              </w:rPr>
            </w:pPr>
            <w:r>
              <w:rPr>
                <w:rFonts w:ascii="Arial" w:cs="Arial" w:eastAsia="Arial" w:hAnsi="Arial"/>
                <w:sz w:val="14"/>
                <w:szCs w:val="14"/>
                <w:color w:val="auto"/>
              </w:rPr>
              <w:t>Executive Committee Chair</w:t>
            </w:r>
          </w:p>
        </w:tc>
        <w:tc>
          <w:tcPr>
            <w:tcW w:w="3500" w:type="dxa"/>
            <w:vAlign w:val="bottom"/>
            <w:shd w:val="clear" w:color="auto" w:fill="E5E6E6"/>
          </w:tcPr>
          <w:p>
            <w:pPr>
              <w:jc w:val="right"/>
              <w:ind w:right="4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6E6"/>
          </w:tcPr>
          <w:p>
            <w:pPr>
              <w:jc w:val="right"/>
              <w:ind w:right="449"/>
              <w:spacing w:after="0" w:line="162" w:lineRule="exact"/>
              <w:rPr>
                <w:sz w:val="20"/>
                <w:szCs w:val="20"/>
                <w:color w:val="auto"/>
              </w:rPr>
            </w:pPr>
            <w:r>
              <w:rPr>
                <w:rFonts w:ascii="Arial" w:cs="Arial" w:eastAsia="Arial" w:hAnsi="Arial"/>
                <w:sz w:val="12"/>
                <w:szCs w:val="12"/>
                <w:color w:val="auto"/>
              </w:rPr>
              <w:t>-</w:t>
            </w:r>
            <w:r>
              <w:rPr>
                <w:rFonts w:ascii="Arial" w:cs="Arial" w:eastAsia="Arial" w:hAnsi="Arial"/>
                <w:sz w:val="18"/>
                <w:szCs w:val="18"/>
                <w:color w:val="auto"/>
                <w:vertAlign w:val="superscript"/>
              </w:rPr>
              <w:t>1</w:t>
            </w:r>
          </w:p>
        </w:tc>
      </w:tr>
    </w:tbl>
    <w:p>
      <w:pPr>
        <w:spacing w:after="0" w:line="167" w:lineRule="exact"/>
        <w:rPr>
          <w:sz w:val="20"/>
          <w:szCs w:val="20"/>
          <w:color w:val="auto"/>
        </w:rPr>
      </w:pPr>
    </w:p>
    <w:p>
      <w:pPr>
        <w:ind w:left="160" w:right="660" w:hanging="125"/>
        <w:spacing w:after="0" w:line="183" w:lineRule="auto"/>
        <w:tabs>
          <w:tab w:leader="none" w:pos="16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Mr. Harton, our President and Chief Executive Officer, serves as the Executive Committee Chair. Mr. Harton also serves as Chairman of the Board. Mr. Harton is not separately compensated for his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wp:posOffset>
            </wp:positionV>
            <wp:extent cx="71151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2"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The forms and amounts of director compensation outlined above were recommended by the Talent and Compensation Committee, and approved by the Board, after considering market data and recommendations of the Talent and Compensation Committee’s compensation consultant, which utilized the same peer group used in connection with establishing the compensation of our executive officers.</w:t>
      </w:r>
    </w:p>
    <w:p>
      <w:pPr>
        <w:spacing w:after="0" w:line="17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directly align the interests of our nonemployee directors with the interests of the shareholders, our Board has adopted stock ownership guidelines that require each nonemployee director to maintain a minimum ownership interest in the Company. The current ownership guideline requires that a director acquire and maintain shares with a value of at least three times his or her annual cash retainer within five years of election to the Board. When the ownership guideline is increased, incumbent nonemployee directors are allowed an additional year to acquire the incremental multiple. Until reaching the share ownership target, nonemployee directors must retain a minimum of 25% of the stock granted to them in any one year.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24" w:name="page25"/>
    <w:bookmarkEnd w:id="24"/>
    <w:p>
      <w:pPr>
        <w:spacing w:after="0"/>
        <w:rPr>
          <w:sz w:val="20"/>
          <w:szCs w:val="20"/>
          <w:color w:val="auto"/>
        </w:rPr>
      </w:pPr>
      <w:r>
        <w:rPr>
          <w:rFonts w:ascii="Arial" w:cs="Arial" w:eastAsia="Arial" w:hAnsi="Arial"/>
          <w:sz w:val="36"/>
          <w:szCs w:val="36"/>
          <w:b w:val="1"/>
          <w:bCs w:val="1"/>
          <w:color w:val="1B3964"/>
        </w:rPr>
        <w:t>Transactions with Management and Others</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Policy with Respect to Approval of Related Party Transactions</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United has a written related party transaction policy that governs the review, approval and ratification of any transaction that would be required to be disclosed by United pursuant to Item 404 of Regulation S-K under the Securities Act of 1933. United’s Board (or the Audit Committee of the Board) must approve all such transactions under the policy.</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Prior to entering into such a related party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party transaction with respect to which such member or any of his or her immediate family members is a related party.</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2020 Related Party Transactions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in 2020 except as follows:</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2020, United paid approximately $1.4 million to the law firm of NMRS for various legal services. Director Wilkins is a partner in NMRS. The Audit Committee and Board were aware of this relationship when they approved NMRS to perform legal work for the Company. The fees paid to NMRS amount to less than three-tenths of 1% of that firm’s total revenue and did not exceed established thresholds that are incompatible with being considered independent, as set under the rules of NASDAQ and applicable provisions of the Exchange Act. Mr. Wilkins performed no work for the Company and received no compensation related to the engagement. The Board considered this relationship in determining that Mr. Wilkins is an independent member of the Board and Nominating and Corporate Governance Committee for 2020, as contemplated by NASDAQ and applicable provisions of the Exchange Act.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25" w:name="page26"/>
    <w:bookmarkEnd w:id="25"/>
    <w:p>
      <w:pPr>
        <w:ind w:right="60"/>
        <w:spacing w:after="0" w:line="295" w:lineRule="auto"/>
        <w:rPr>
          <w:sz w:val="20"/>
          <w:szCs w:val="20"/>
          <w:color w:val="auto"/>
        </w:rPr>
      </w:pPr>
      <w:r>
        <w:rPr>
          <w:rFonts w:ascii="Arial" w:cs="Arial" w:eastAsia="Arial" w:hAnsi="Arial"/>
          <w:sz w:val="35"/>
          <w:szCs w:val="35"/>
          <w:b w:val="1"/>
          <w:bCs w:val="1"/>
          <w:color w:val="1B3964"/>
        </w:rPr>
        <w:t>Proposal 2: Amend Restated Articles of Incorporation to Increase Number of Authorized Shares of United’s Voting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Introduction</w:t>
      </w:r>
    </w:p>
    <w:p>
      <w:pPr>
        <w:spacing w:after="0" w:line="23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Board unanimously adopted the proposal to amend our Restated Articles of Incorporation (the “Articles of Incorporation”) to increase the number of shares of authorized voting common stock, $1.00 par value per share, from 150,000,000 shares to 200,000,000 (the “Increased Capitalization Proposal”). The Board is now asking you to approve the Increased Capitalization Proposal.</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March 15, 2021, there were 86,774,637 shares of our voting common stock outstanding and entitled to vote at the 2021 Annual Meeting. In addition, an aggregate of 2,741,241 shares of common stock were reserved for issuance under our various employee benefit and compensation plans. This leaves 60,484,122 shares of common stock currently available for future use.</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Form of the Amendment</w:t>
      </w:r>
    </w:p>
    <w:p>
      <w:pPr>
        <w:spacing w:after="0" w:line="23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shareholders approve the Increased Capitalization Proposal, the first paragraph of Article V of the Articles of Incorporation will be amended to increase the number of shares of voting common stock that United is authorized to issue from 150,000,000 to 200,000,000. There will be no change to the number of authorized shares of non-voting common stock, which will remain at 30,000,000, or the number of authorized shares of preferred stock, which will remain at 10,000,000 shares. The common stock and the preferred stock will continue to be $1.00 par value, respectively. The amendment would amend the first paragraph of Article V of our Restated Articles of Incorporation to read in its entirety as follows:</w:t>
      </w:r>
    </w:p>
    <w:p>
      <w:pPr>
        <w:spacing w:after="0" w:line="191" w:lineRule="exact"/>
        <w:rPr>
          <w:sz w:val="20"/>
          <w:szCs w:val="20"/>
          <w:color w:val="auto"/>
        </w:rPr>
      </w:pPr>
    </w:p>
    <w:p>
      <w:pPr>
        <w:ind w:left="340" w:right="100"/>
        <w:spacing w:after="0" w:line="236" w:lineRule="auto"/>
        <w:rPr>
          <w:sz w:val="20"/>
          <w:szCs w:val="20"/>
          <w:color w:val="auto"/>
        </w:rPr>
      </w:pPr>
      <w:r>
        <w:rPr>
          <w:rFonts w:ascii="Arial" w:cs="Arial" w:eastAsia="Arial" w:hAnsi="Arial"/>
          <w:sz w:val="18"/>
          <w:szCs w:val="18"/>
          <w:color w:val="auto"/>
        </w:rPr>
        <w:t>“The corporation shall have authority to issue 200,000,000 shares of common stock, $1.00 par value (the “Common Stock”), 30,000,000 shares of non-voting common stock, $1.00 par value (the “Non-Voting Common Stock”), having the powers, rights and preferences, and the qualifications, limitations and restrictions thereof,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Purpose of the Amendment</w:t>
      </w:r>
    </w:p>
    <w:p>
      <w:pPr>
        <w:spacing w:after="0" w:line="2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Board is recommending that our shareholders approve the Increased Capitalization Proposal primarily to give the Company appropriate flexibility to issue shares for future corporate needs, including for financing, equity incentive and strategic purposes. The shares may be issued by the Board in its discretion, subject to any further shareholder action required in the case of any particular issuance by applicable law, regulatory agency, or under the applicable rules of any securities exchange. With the exception of already outstanding rights referenced above for which reservation has been made, there is no present agreement to issue any material number of shares. The newly authorized shares of voting common stock would be issuable for any proper corporate purpose, including future acquisitions, investment opportunities, capital raising transactions of equity or convertible debt securities, stock splits, stock dividends, issuance under current or future equity compensation plans, employee stock or incentive and savings plans or for other corporate purposes. There are no immediate plans, arrangements, commitments or understandings with respect to issuance of any of the additional shares of voting common stock that would be authorized by the proposed amendment. However, the Board believes that these additional shares will provide us with needed flexibility to issue shares in the future to take advantage of market conditions or favorable opportunities without the potential expense or delay incident to obtaining shareholder approval for a particular issuance.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26" w:name="page27"/>
    <w:bookmarkEnd w:id="26"/>
    <w:p>
      <w:pPr>
        <w:spacing w:after="0"/>
        <w:rPr>
          <w:sz w:val="20"/>
          <w:szCs w:val="20"/>
          <w:color w:val="auto"/>
        </w:rPr>
      </w:pPr>
      <w:r>
        <w:rPr>
          <w:rFonts w:ascii="Arial" w:cs="Arial" w:eastAsia="Arial" w:hAnsi="Arial"/>
          <w:sz w:val="27"/>
          <w:szCs w:val="27"/>
          <w:b w:val="1"/>
          <w:bCs w:val="1"/>
          <w:color w:val="1077A9"/>
        </w:rPr>
        <w:t>Rights of Additional Authorized Shares; No Preemptive Rights</w:t>
      </w:r>
    </w:p>
    <w:p>
      <w:pPr>
        <w:spacing w:after="0" w:line="23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additional authorized shares of voting common stock contemplated by the Increased Capitalization Proposal, if and when issued, would be part of the existing class of voting common stock and would have the same rights and privileges as the shares of voting common stock currently outstanding. Our shareholders do not have preemptive rights with respect to our common stock. Accordingly, should the Board elect to issue additional shares of common stock, existing shareholders would not have any preferential rights to purchase the shares.</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Potential Adverse Effects of the Amendment</w:t>
      </w:r>
    </w:p>
    <w:p>
      <w:pPr>
        <w:spacing w:after="0" w:line="23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Future issuances of voting common stock or securities convertible into voting common stock could have a dilutive effect on the earnings per share, book value per share, voting power and percentage interest of holdings of current shareholders. In addition, the availability of additional shares of voting common stock for issuance could, under certain circumstances, discourage or make more difficult efforts to obtain control of the Company. The Board is not aware of any attempt, or contemplated attempt, to acquire control of the Company. This proposal is not being presented with the intent that it be used to prevent or discourage any acquisition attempt, but nothing would prevent the Board from taking any appropriate actions not inconsistent with its fiduciary duties.</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Effectiveness of the Amendment and Vote Required</w:t>
      </w:r>
    </w:p>
    <w:p>
      <w:pPr>
        <w:spacing w:after="0" w:line="2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the Increased Capitalization Proposal is adopted, it will become effective upon the filing of articles of amendment to our Restated Articles of Incorporation with the Secretary of State of the State of Georgia. The adoption of this amendment requires that a quorum exist and that the Increased Capitalization Proposal receive the affirmative vote of a majority of our issued and outstanding voting common stock. Under applicable NASDAQ Stock Market listing rules, brokers are not permitted to vote shares held for a customer on “nonroutine” matters (such as the Increased Capitalization Proposal) without specific instructions from the customer. Abstentions and broker nonvotes will be treated as shares that are present and entitled to vote for purposes of determining whether a quorum is present but will not be counted as votes cast either in favor of or against a particular proposal. Notwithstanding the foregoing, abstentions and broker nonvotes will have the effect of votes against the Increased Capitalization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4800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78" w:lineRule="exact"/>
        <w:rPr>
          <w:sz w:val="20"/>
          <w:szCs w:val="20"/>
          <w:color w:val="auto"/>
        </w:rPr>
      </w:pPr>
    </w:p>
    <w:p>
      <w:pPr>
        <w:ind w:left="2000" w:right="1780" w:hanging="263"/>
        <w:spacing w:after="0" w:line="285" w:lineRule="auto"/>
        <w:rPr>
          <w:sz w:val="20"/>
          <w:szCs w:val="20"/>
          <w:color w:val="auto"/>
        </w:rPr>
      </w:pPr>
      <w:r>
        <w:rPr>
          <w:rFonts w:ascii="Arial" w:cs="Arial" w:eastAsia="Arial" w:hAnsi="Arial"/>
          <w:sz w:val="21"/>
          <w:szCs w:val="21"/>
          <w:b w:val="1"/>
          <w:bCs w:val="1"/>
          <w:i w:val="1"/>
          <w:iCs w:val="1"/>
          <w:color w:val="FFFFFF"/>
        </w:rPr>
        <w:t>THE BOARD UNANIMOUSLY RECOMMENDS THAT SHAREHOLDERS VOTE “FOR” THE INCREASED CAPITALIZATION PROPOSAL (PROPOSAL 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p>
      <w:pPr>
        <w:ind w:right="440"/>
        <w:spacing w:after="0" w:line="280" w:lineRule="auto"/>
        <w:rPr>
          <w:sz w:val="20"/>
          <w:szCs w:val="20"/>
          <w:color w:val="auto"/>
        </w:rPr>
      </w:pPr>
      <w:r>
        <w:rPr>
          <w:rFonts w:ascii="Arial" w:cs="Arial" w:eastAsia="Arial" w:hAnsi="Arial"/>
          <w:sz w:val="36"/>
          <w:szCs w:val="36"/>
          <w:b w:val="1"/>
          <w:bCs w:val="1"/>
          <w:color w:val="143964"/>
        </w:rPr>
        <w:t>Proposal 3: Advisory Vote to Approve Named Executive Officer Compensation</w:t>
      </w:r>
    </w:p>
    <w:p>
      <w:pPr>
        <w:spacing w:after="0" w:line="1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accordance with Section 14A of the Securities Exchange Act of 1934, as amended, we provide our shareholders each year with an opportunity to vote, on an advisory basis, on compensation paid to our named executive officers (“Named Executive Officers” or “NEOs”) as disclosed in this Proxy Statement pursuant to Item 402 of Regulation S-K. Accordingly, we are asking our shareholders to provide an advisory non-binding (“say-on-pay” vote) to approve our executive compensation as we have described it in Executive Compensation: Compensation Discussion and Analysis and in the accompanying compensation tables. At our 2020 Annual Meeting of Shareholders, over 98% of the votes cast favored the “say-on-pay” proposal. Our Talent and Compensation Committee believes that this result evidences strong shareholder support of our executive compensation programs and maintained a consistent overall approach for 2020.</w:t>
      </w:r>
    </w:p>
    <w:p>
      <w:pPr>
        <w:spacing w:after="0" w:line="1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Talent and Compensation Committee oversees our executive compensation program, structures the program, adopts changes to the program and awards compensation as appropriate to reflect United’s performance and promote the objectives of the program. Our compensation programs are designed to attract and retain talented, experienced and qualified individuals, to motivate and reward outstanding performance while maintaining safe and sound banking practices, to promote our strategic goals and to support long-term value creation for our shareholders.</w:t>
      </w:r>
    </w:p>
    <w:p>
      <w:pPr>
        <w:spacing w:after="0" w:line="18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“say-on-pay” vote is advisory and will not be binding on the Board or the Talent and Compensation Committee. However, our Board and Talent and Compensation Committee value our shareholders’ views and will consider the outcome of the vote when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4800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i w:val="1"/>
          <w:iCs w:val="1"/>
          <w:color w:val="FFFFFF"/>
        </w:rPr>
        <w:t>THE BOARD UNANIMOUSLY RECOMMENDS THAT SHAREHOLDERS VOTE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FFFFFF"/>
        </w:rPr>
        <w:t>“FOR” OUR “SAY-ON-PAY” PROPOSAL (PROPOSAL 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28" w:name="page29"/>
    <w:bookmarkEnd w:id="28"/>
    <w:p>
      <w:pPr>
        <w:spacing w:after="0"/>
        <w:rPr>
          <w:sz w:val="20"/>
          <w:szCs w:val="20"/>
          <w:color w:val="auto"/>
        </w:rPr>
      </w:pPr>
      <w:r>
        <w:rPr>
          <w:rFonts w:ascii="Arial" w:cs="Arial" w:eastAsia="Arial" w:hAnsi="Arial"/>
          <w:sz w:val="36"/>
          <w:szCs w:val="36"/>
          <w:b w:val="1"/>
          <w:bCs w:val="1"/>
          <w:color w:val="143964"/>
        </w:rPr>
        <w:t>Executive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details of compensation during 2020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126365</wp:posOffset>
            </wp:positionV>
            <wp:extent cx="889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60" w:type="dxa"/>
            <w:vAlign w:val="bottom"/>
            <w:tcBorders>
              <w:bottom w:val="single" w:sz="8" w:color="1077A9"/>
              <w:right w:val="single" w:sz="8" w:color="1077A9"/>
            </w:tcBorders>
            <w:shd w:val="clear" w:color="auto" w:fill="1077A9"/>
          </w:tcPr>
          <w:p>
            <w:pPr>
              <w:ind w:left="80"/>
              <w:spacing w:after="0"/>
              <w:rPr>
                <w:sz w:val="20"/>
                <w:szCs w:val="20"/>
                <w:color w:val="auto"/>
              </w:rPr>
            </w:pPr>
            <w:r>
              <w:rPr>
                <w:rFonts w:ascii="Arial" w:cs="Arial" w:eastAsia="Arial" w:hAnsi="Arial"/>
                <w:sz w:val="14"/>
                <w:szCs w:val="14"/>
                <w:color w:val="FFFFFF"/>
              </w:rPr>
              <w:t>Name</w:t>
            </w:r>
          </w:p>
        </w:tc>
        <w:tc>
          <w:tcPr>
            <w:tcW w:w="6720" w:type="dxa"/>
            <w:vAlign w:val="bottom"/>
            <w:tcBorders>
              <w:bottom w:val="single" w:sz="8" w:color="1077A9"/>
            </w:tcBorders>
            <w:shd w:val="clear" w:color="auto" w:fill="1077A9"/>
          </w:tcPr>
          <w:p>
            <w:pPr>
              <w:ind w:left="80"/>
              <w:spacing w:after="0"/>
              <w:rPr>
                <w:sz w:val="20"/>
                <w:szCs w:val="20"/>
                <w:color w:val="auto"/>
              </w:rPr>
            </w:pPr>
            <w:r>
              <w:rPr>
                <w:rFonts w:ascii="Arial" w:cs="Arial" w:eastAsia="Arial" w:hAnsi="Arial"/>
                <w:sz w:val="14"/>
                <w:szCs w:val="14"/>
                <w:color w:val="FFFFFF"/>
              </w:rPr>
              <w:t>Position</w:t>
            </w:r>
          </w:p>
        </w:tc>
      </w:tr>
      <w:tr>
        <w:trPr>
          <w:trHeight w:val="231"/>
        </w:trPr>
        <w:tc>
          <w:tcPr>
            <w:tcW w:w="2260" w:type="dxa"/>
            <w:vAlign w:val="bottom"/>
            <w:tcBorders>
              <w:right w:val="single" w:sz="8" w:color="E5E6E6"/>
            </w:tcBorders>
          </w:tcPr>
          <w:p>
            <w:pPr>
              <w:ind w:left="80"/>
              <w:spacing w:after="0"/>
              <w:rPr>
                <w:sz w:val="20"/>
                <w:szCs w:val="20"/>
                <w:color w:val="auto"/>
              </w:rPr>
            </w:pPr>
            <w:r>
              <w:rPr>
                <w:rFonts w:ascii="Arial" w:cs="Arial" w:eastAsia="Arial" w:hAnsi="Arial"/>
                <w:sz w:val="14"/>
                <w:szCs w:val="14"/>
                <w:color w:val="auto"/>
              </w:rPr>
              <w:t>H. Lynn Harton</w:t>
            </w:r>
          </w:p>
        </w:tc>
        <w:tc>
          <w:tcPr>
            <w:tcW w:w="6720" w:type="dxa"/>
            <w:vAlign w:val="bottom"/>
          </w:tcPr>
          <w:p>
            <w:pPr>
              <w:ind w:left="80"/>
              <w:spacing w:after="0"/>
              <w:rPr>
                <w:sz w:val="20"/>
                <w:szCs w:val="20"/>
                <w:color w:val="auto"/>
              </w:rPr>
            </w:pPr>
            <w:r>
              <w:rPr>
                <w:rFonts w:ascii="Arial" w:cs="Arial" w:eastAsia="Arial" w:hAnsi="Arial"/>
                <w:sz w:val="14"/>
                <w:szCs w:val="14"/>
                <w:color w:val="auto"/>
              </w:rPr>
              <w:t>Chairman, President and Chief Executive Officer</w:t>
            </w:r>
          </w:p>
        </w:tc>
      </w:tr>
      <w:tr>
        <w:trPr>
          <w:trHeight w:val="39"/>
        </w:trPr>
        <w:tc>
          <w:tcPr>
            <w:tcW w:w="2260" w:type="dxa"/>
            <w:vAlign w:val="bottom"/>
            <w:tcBorders>
              <w:right w:val="single" w:sz="8" w:color="E5E6E6"/>
            </w:tcBorders>
          </w:tcPr>
          <w:p>
            <w:pPr>
              <w:spacing w:after="0"/>
              <w:rPr>
                <w:sz w:val="3"/>
                <w:szCs w:val="3"/>
                <w:color w:val="auto"/>
              </w:rPr>
            </w:pPr>
          </w:p>
        </w:tc>
        <w:tc>
          <w:tcPr>
            <w:tcW w:w="6720" w:type="dxa"/>
            <w:vAlign w:val="bottom"/>
          </w:tcPr>
          <w:p>
            <w:pPr>
              <w:spacing w:after="0"/>
              <w:rPr>
                <w:sz w:val="3"/>
                <w:szCs w:val="3"/>
                <w:color w:val="auto"/>
              </w:rPr>
            </w:pPr>
          </w:p>
        </w:tc>
      </w:tr>
      <w:tr>
        <w:trPr>
          <w:trHeight w:val="250"/>
        </w:trPr>
        <w:tc>
          <w:tcPr>
            <w:tcW w:w="2260" w:type="dxa"/>
            <w:vAlign w:val="bottom"/>
            <w:tcBorders>
              <w:bottom w:val="single" w:sz="8" w:color="E5E6E6"/>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Jefferson L. Harralson</w:t>
            </w:r>
          </w:p>
        </w:tc>
        <w:tc>
          <w:tcPr>
            <w:tcW w:w="6720" w:type="dxa"/>
            <w:vAlign w:val="bottom"/>
            <w:tcBorders>
              <w:bottom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Executive Vice President, Chief Financial Officer</w:t>
            </w:r>
          </w:p>
        </w:tc>
      </w:tr>
      <w:tr>
        <w:trPr>
          <w:trHeight w:val="231"/>
        </w:trPr>
        <w:tc>
          <w:tcPr>
            <w:tcW w:w="2260" w:type="dxa"/>
            <w:vAlign w:val="bottom"/>
            <w:tcBorders>
              <w:right w:val="single" w:sz="8" w:color="E5E6E6"/>
            </w:tcBorders>
          </w:tcPr>
          <w:p>
            <w:pPr>
              <w:ind w:left="80"/>
              <w:spacing w:after="0"/>
              <w:rPr>
                <w:sz w:val="20"/>
                <w:szCs w:val="20"/>
                <w:color w:val="auto"/>
              </w:rPr>
            </w:pPr>
            <w:r>
              <w:rPr>
                <w:rFonts w:ascii="Arial" w:cs="Arial" w:eastAsia="Arial" w:hAnsi="Arial"/>
                <w:sz w:val="14"/>
                <w:szCs w:val="14"/>
                <w:color w:val="auto"/>
              </w:rPr>
              <w:t>Richard W. Bradshaw</w:t>
            </w:r>
          </w:p>
        </w:tc>
        <w:tc>
          <w:tcPr>
            <w:tcW w:w="6720" w:type="dxa"/>
            <w:vAlign w:val="bottom"/>
          </w:tcPr>
          <w:p>
            <w:pPr>
              <w:ind w:left="80"/>
              <w:spacing w:after="0"/>
              <w:rPr>
                <w:sz w:val="20"/>
                <w:szCs w:val="20"/>
                <w:color w:val="auto"/>
              </w:rPr>
            </w:pPr>
            <w:r>
              <w:rPr>
                <w:rFonts w:ascii="Arial" w:cs="Arial" w:eastAsia="Arial" w:hAnsi="Arial"/>
                <w:sz w:val="14"/>
                <w:szCs w:val="14"/>
                <w:color w:val="auto"/>
              </w:rPr>
              <w:t>Executive Vice President, Chief Banking Officer</w:t>
            </w:r>
          </w:p>
        </w:tc>
      </w:tr>
      <w:tr>
        <w:trPr>
          <w:trHeight w:val="39"/>
        </w:trPr>
        <w:tc>
          <w:tcPr>
            <w:tcW w:w="2260" w:type="dxa"/>
            <w:vAlign w:val="bottom"/>
            <w:tcBorders>
              <w:right w:val="single" w:sz="8" w:color="E5E6E6"/>
            </w:tcBorders>
          </w:tcPr>
          <w:p>
            <w:pPr>
              <w:spacing w:after="0"/>
              <w:rPr>
                <w:sz w:val="3"/>
                <w:szCs w:val="3"/>
                <w:color w:val="auto"/>
              </w:rPr>
            </w:pPr>
          </w:p>
        </w:tc>
        <w:tc>
          <w:tcPr>
            <w:tcW w:w="6720" w:type="dxa"/>
            <w:vAlign w:val="bottom"/>
          </w:tcPr>
          <w:p>
            <w:pPr>
              <w:spacing w:after="0"/>
              <w:rPr>
                <w:sz w:val="3"/>
                <w:szCs w:val="3"/>
                <w:color w:val="auto"/>
              </w:rPr>
            </w:pPr>
          </w:p>
        </w:tc>
      </w:tr>
      <w:tr>
        <w:trPr>
          <w:trHeight w:val="250"/>
        </w:trPr>
        <w:tc>
          <w:tcPr>
            <w:tcW w:w="2260" w:type="dxa"/>
            <w:vAlign w:val="bottom"/>
            <w:tcBorders>
              <w:bottom w:val="single" w:sz="8" w:color="E5E6E6"/>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Robert A. Edwards</w:t>
            </w:r>
          </w:p>
        </w:tc>
        <w:tc>
          <w:tcPr>
            <w:tcW w:w="6720" w:type="dxa"/>
            <w:vAlign w:val="bottom"/>
            <w:tcBorders>
              <w:bottom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Executive Vice President, Chief Risk Officer</w:t>
            </w:r>
          </w:p>
        </w:tc>
      </w:tr>
      <w:tr>
        <w:trPr>
          <w:trHeight w:val="231"/>
        </w:trPr>
        <w:tc>
          <w:tcPr>
            <w:tcW w:w="2260" w:type="dxa"/>
            <w:vAlign w:val="bottom"/>
            <w:tcBorders>
              <w:right w:val="single" w:sz="8" w:color="E5E6E6"/>
            </w:tcBorders>
          </w:tcPr>
          <w:p>
            <w:pPr>
              <w:ind w:left="80"/>
              <w:spacing w:after="0"/>
              <w:rPr>
                <w:sz w:val="20"/>
                <w:szCs w:val="20"/>
                <w:color w:val="auto"/>
              </w:rPr>
            </w:pPr>
            <w:r>
              <w:rPr>
                <w:rFonts w:ascii="Arial" w:cs="Arial" w:eastAsia="Arial" w:hAnsi="Arial"/>
                <w:sz w:val="14"/>
                <w:szCs w:val="14"/>
                <w:color w:val="auto"/>
              </w:rPr>
              <w:t>Melinda Davis Lux</w:t>
            </w:r>
          </w:p>
        </w:tc>
        <w:tc>
          <w:tcPr>
            <w:tcW w:w="6720" w:type="dxa"/>
            <w:vAlign w:val="bottom"/>
          </w:tcPr>
          <w:p>
            <w:pPr>
              <w:ind w:left="80"/>
              <w:spacing w:after="0"/>
              <w:rPr>
                <w:sz w:val="20"/>
                <w:szCs w:val="20"/>
                <w:color w:val="auto"/>
              </w:rPr>
            </w:pPr>
            <w:r>
              <w:rPr>
                <w:rFonts w:ascii="Arial" w:cs="Arial" w:eastAsia="Arial" w:hAnsi="Arial"/>
                <w:sz w:val="14"/>
                <w:szCs w:val="14"/>
                <w:color w:val="auto"/>
              </w:rPr>
              <w:t>Executive Vice President, General Counsel and Corporate Secretary</w:t>
            </w:r>
          </w:p>
        </w:tc>
      </w:tr>
      <w:tr>
        <w:trPr>
          <w:trHeight w:val="39"/>
        </w:trPr>
        <w:tc>
          <w:tcPr>
            <w:tcW w:w="2260" w:type="dxa"/>
            <w:vAlign w:val="bottom"/>
            <w:tcBorders>
              <w:bottom w:val="single" w:sz="8" w:color="E5E6E6"/>
              <w:right w:val="single" w:sz="8" w:color="E5E6E6"/>
            </w:tcBorders>
          </w:tcPr>
          <w:p>
            <w:pPr>
              <w:spacing w:after="0"/>
              <w:rPr>
                <w:sz w:val="3"/>
                <w:szCs w:val="3"/>
                <w:color w:val="auto"/>
              </w:rPr>
            </w:pPr>
          </w:p>
        </w:tc>
        <w:tc>
          <w:tcPr>
            <w:tcW w:w="6720" w:type="dxa"/>
            <w:vAlign w:val="bottom"/>
            <w:tcBorders>
              <w:bottom w:val="single" w:sz="8" w:color="E5E6E6"/>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-350520</wp:posOffset>
            </wp:positionV>
            <wp:extent cx="889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-693420</wp:posOffset>
            </wp:positionV>
            <wp:extent cx="889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Overview of Compensation Program</w:t>
      </w:r>
    </w:p>
    <w:p>
      <w:pPr>
        <w:spacing w:after="0" w:line="2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Talent and Compensation Committee is responsible for determining the compensation that is paid or awarded to our Company’s executive officers. For purposes of this Proxy Statement, the term “executive officer” means the executive leadership of the Company, including the NEOs. Our Talent and Compensation Committee strives to design our executive compensation programs to serve the long-term interests of our shareholders. To deliver superior shareholder returns, we believe that it is critical to provide competitive compensation packages that will attract, retain and motivate talented and experienced executives with the requisite expertise. Our program is designed to balance short-term and long-term components of compensation and, consequently, incent achievement of our annual business plan and long-term business strategies.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2020 Select Business Highlights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Long-Term Financial Performance</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have generated strong financial results over the past 5+ years, more than doubling net income while also adding substantial capital, both organically and through M&amp;A. Since the end of 2015, we increased our already strong common equity tier-1 risk-based capital ratio by 86 basis points to 12.31% and our tier-1 risk-based capital ratio by 165 basis points to 13.10% providing greater flexibility for strategic company growth and capital actions while maintaining a strong balance sheet. In spite of the volatile operating environment created by the COVID-19 pandemic, we have continued to outperform our peers with respect to both return on average assets (“ROA”) and return on average tangible common equity (“ROTCE”), and our shares outpaced the KBW NASDAQ regional Banking Index (KRX) index by 420 basis points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115570</wp:posOffset>
            </wp:positionV>
            <wp:extent cx="6000750" cy="25203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0075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226060</wp:posOffset>
            </wp:positionV>
            <wp:extent cx="6000750" cy="25203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Total Shareholder Return (“TSR”)</w:t>
      </w:r>
    </w:p>
    <w:p>
      <w:pPr>
        <w:spacing w:after="0" w:line="185" w:lineRule="exact"/>
        <w:rPr>
          <w:sz w:val="20"/>
          <w:szCs w:val="20"/>
          <w:color w:val="auto"/>
        </w:rPr>
      </w:pPr>
    </w:p>
    <w:p>
      <w:pPr>
        <w:ind w:right="480"/>
        <w:spacing w:after="0" w:line="210" w:lineRule="auto"/>
        <w:rPr>
          <w:sz w:val="20"/>
          <w:szCs w:val="20"/>
          <w:color w:val="auto"/>
        </w:rPr>
      </w:pPr>
      <w:r>
        <w:rPr>
          <w:rFonts w:ascii="Arial" w:cs="Arial" w:eastAsia="Arial" w:hAnsi="Arial"/>
          <w:sz w:val="18"/>
          <w:szCs w:val="18"/>
          <w:color w:val="auto"/>
        </w:rPr>
        <w:t>The graph below shows our TSR</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expressed as the cumulative return to shareholders over the past decade. As illustrated, a $100 investment in United Community Banks, Inc. common stock on December 31, 2010 would be valued at $ 331 as of December 31, 2020, which significantly outperformed the financial services industry over the period, as measured by the S&amp;P Financials Index and the KBW NASDAQ Regional Bank Index (KRX).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6000750" cy="34029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0075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hanging="92"/>
        <w:spacing w:after="0"/>
        <w:tabs>
          <w:tab w:leader="none" w:pos="100" w:val="left"/>
        </w:tabs>
        <w:numPr>
          <w:ilvl w:val="0"/>
          <w:numId w:val="30"/>
        </w:numPr>
        <w:rPr>
          <w:rFonts w:ascii="Arial" w:cs="Arial" w:eastAsia="Arial" w:hAnsi="Arial"/>
          <w:sz w:val="24"/>
          <w:szCs w:val="24"/>
          <w:color w:val="auto"/>
          <w:vertAlign w:val="superscript"/>
        </w:rPr>
      </w:pPr>
      <w:r>
        <w:rPr>
          <w:rFonts w:ascii="Arial" w:cs="Arial" w:eastAsia="Arial" w:hAnsi="Arial"/>
          <w:sz w:val="14"/>
          <w:szCs w:val="14"/>
          <w:color w:val="auto"/>
        </w:rPr>
        <w:t>TSR shows the actual return of stock price with dividends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i w:val="1"/>
          <w:iCs w:val="1"/>
          <w:color w:val="1077A9"/>
        </w:rPr>
        <w:t>Key Aspects of the 2020 Executive Compensation Program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Overview</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Our executive compensation program is comprised of three main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ind w:left="60"/>
              <w:spacing w:after="0"/>
              <w:rPr>
                <w:sz w:val="20"/>
                <w:szCs w:val="20"/>
                <w:color w:val="auto"/>
              </w:rPr>
            </w:pPr>
            <w:r>
              <w:rPr>
                <w:rFonts w:ascii="Arial" w:cs="Arial" w:eastAsia="Arial" w:hAnsi="Arial"/>
                <w:sz w:val="18"/>
                <w:szCs w:val="18"/>
                <w:color w:val="auto"/>
              </w:rPr>
              <w:t>Base Salary</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7580" w:type="dxa"/>
            <w:vAlign w:val="bottom"/>
          </w:tcPr>
          <w:p>
            <w:pPr>
              <w:ind w:left="60"/>
              <w:spacing w:after="0"/>
              <w:rPr>
                <w:sz w:val="20"/>
                <w:szCs w:val="20"/>
                <w:color w:val="auto"/>
              </w:rPr>
            </w:pPr>
            <w:r>
              <w:rPr>
                <w:rFonts w:ascii="Arial" w:cs="Arial" w:eastAsia="Arial" w:hAnsi="Arial"/>
                <w:sz w:val="18"/>
                <w:szCs w:val="18"/>
                <w:color w:val="auto"/>
              </w:rPr>
              <w:t>Primarily reflects scope of responsibilities, individual skills and capabilities and individual</w:t>
            </w:r>
          </w:p>
        </w:tc>
      </w:tr>
      <w:tr>
        <w:trPr>
          <w:trHeight w:val="224"/>
        </w:trPr>
        <w:tc>
          <w:tcPr>
            <w:tcW w:w="3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580" w:type="dxa"/>
            <w:vAlign w:val="bottom"/>
          </w:tcPr>
          <w:p>
            <w:pPr>
              <w:ind w:left="60"/>
              <w:spacing w:after="0"/>
              <w:rPr>
                <w:sz w:val="20"/>
                <w:szCs w:val="20"/>
                <w:color w:val="auto"/>
              </w:rPr>
            </w:pPr>
            <w:r>
              <w:rPr>
                <w:rFonts w:ascii="Arial" w:cs="Arial" w:eastAsia="Arial" w:hAnsi="Arial"/>
                <w:sz w:val="18"/>
                <w:szCs w:val="18"/>
                <w:color w:val="auto"/>
              </w:rPr>
              <w:t>performance in light of competitiveness in the markets in which we retain executive talent</w:t>
            </w:r>
          </w:p>
        </w:tc>
      </w:tr>
      <w:tr>
        <w:trPr>
          <w:trHeight w:val="263"/>
        </w:trPr>
        <w:tc>
          <w:tcPr>
            <w:tcW w:w="3200" w:type="dxa"/>
            <w:vAlign w:val="bottom"/>
            <w:shd w:val="clear" w:color="auto" w:fill="E5E6E6"/>
          </w:tcPr>
          <w:p>
            <w:pPr>
              <w:ind w:left="60"/>
              <w:spacing w:after="0"/>
              <w:rPr>
                <w:sz w:val="20"/>
                <w:szCs w:val="20"/>
                <w:color w:val="auto"/>
              </w:rPr>
            </w:pPr>
            <w:r>
              <w:rPr>
                <w:rFonts w:ascii="Arial" w:cs="Arial" w:eastAsia="Arial" w:hAnsi="Arial"/>
                <w:sz w:val="18"/>
                <w:szCs w:val="18"/>
                <w:color w:val="auto"/>
              </w:rPr>
              <w:t>Annual Nonequity Incentive Awards</w:t>
            </w:r>
          </w:p>
        </w:tc>
        <w:tc>
          <w:tcPr>
            <w:tcW w:w="460" w:type="dxa"/>
            <w:vAlign w:val="bottom"/>
            <w:shd w:val="clear" w:color="auto" w:fill="E5E6E6"/>
          </w:tcPr>
          <w:p>
            <w:pPr>
              <w:ind w:left="320"/>
              <w:spacing w:after="0"/>
              <w:rPr>
                <w:sz w:val="20"/>
                <w:szCs w:val="20"/>
                <w:color w:val="auto"/>
              </w:rPr>
            </w:pPr>
            <w:r>
              <w:rPr>
                <w:rFonts w:ascii="Arial" w:cs="Arial" w:eastAsia="Arial" w:hAnsi="Arial"/>
                <w:sz w:val="18"/>
                <w:szCs w:val="18"/>
                <w:color w:val="auto"/>
              </w:rPr>
              <w:t>•</w:t>
            </w:r>
          </w:p>
        </w:tc>
        <w:tc>
          <w:tcPr>
            <w:tcW w:w="7580" w:type="dxa"/>
            <w:vAlign w:val="bottom"/>
            <w:shd w:val="clear" w:color="auto" w:fill="E5E6E6"/>
          </w:tcPr>
          <w:p>
            <w:pPr>
              <w:ind w:left="60"/>
              <w:spacing w:after="0"/>
              <w:rPr>
                <w:sz w:val="20"/>
                <w:szCs w:val="20"/>
                <w:color w:val="auto"/>
              </w:rPr>
            </w:pPr>
            <w:r>
              <w:rPr>
                <w:rFonts w:ascii="Arial" w:cs="Arial" w:eastAsia="Arial" w:hAnsi="Arial"/>
                <w:sz w:val="18"/>
                <w:szCs w:val="18"/>
                <w:color w:val="auto"/>
              </w:rPr>
              <w:t>Provides short-term variable pay for performance based on key operating goals</w:t>
            </w:r>
          </w:p>
        </w:tc>
      </w:tr>
      <w:tr>
        <w:trPr>
          <w:trHeight w:val="243"/>
        </w:trPr>
        <w:tc>
          <w:tcPr>
            <w:tcW w:w="3200" w:type="dxa"/>
            <w:vAlign w:val="bottom"/>
          </w:tcPr>
          <w:p>
            <w:pPr>
              <w:ind w:left="60"/>
              <w:spacing w:after="0"/>
              <w:rPr>
                <w:sz w:val="20"/>
                <w:szCs w:val="20"/>
                <w:color w:val="auto"/>
              </w:rPr>
            </w:pPr>
            <w:r>
              <w:rPr>
                <w:rFonts w:ascii="Arial" w:cs="Arial" w:eastAsia="Arial" w:hAnsi="Arial"/>
                <w:sz w:val="18"/>
                <w:szCs w:val="18"/>
                <w:color w:val="auto"/>
              </w:rPr>
              <w:t>Long-Term Equity Incentive Awards</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7580" w:type="dxa"/>
            <w:vAlign w:val="bottom"/>
          </w:tcPr>
          <w:p>
            <w:pPr>
              <w:ind w:left="60"/>
              <w:spacing w:after="0"/>
              <w:rPr>
                <w:sz w:val="20"/>
                <w:szCs w:val="20"/>
                <w:color w:val="auto"/>
              </w:rPr>
            </w:pPr>
            <w:r>
              <w:rPr>
                <w:rFonts w:ascii="Arial" w:cs="Arial" w:eastAsia="Arial" w:hAnsi="Arial"/>
                <w:sz w:val="18"/>
                <w:szCs w:val="18"/>
                <w:color w:val="auto"/>
              </w:rPr>
              <w:t>Consists of grants of performance-based and time-based restricted stock units</w:t>
            </w:r>
          </w:p>
        </w:tc>
      </w:tr>
      <w:tr>
        <w:trPr>
          <w:trHeight w:val="215"/>
        </w:trPr>
        <w:tc>
          <w:tcPr>
            <w:tcW w:w="3200" w:type="dxa"/>
            <w:vAlign w:val="bottom"/>
          </w:tcPr>
          <w:p>
            <w:pPr>
              <w:spacing w:after="0"/>
              <w:rPr>
                <w:sz w:val="18"/>
                <w:szCs w:val="18"/>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7580" w:type="dxa"/>
            <w:vAlign w:val="bottom"/>
          </w:tcPr>
          <w:p>
            <w:pPr>
              <w:ind w:left="60"/>
              <w:spacing w:after="0"/>
              <w:rPr>
                <w:sz w:val="20"/>
                <w:szCs w:val="20"/>
                <w:color w:val="auto"/>
              </w:rPr>
            </w:pPr>
            <w:r>
              <w:rPr>
                <w:rFonts w:ascii="Arial" w:cs="Arial" w:eastAsia="Arial" w:hAnsi="Arial"/>
                <w:sz w:val="18"/>
                <w:szCs w:val="18"/>
                <w:color w:val="auto"/>
              </w:rPr>
              <w:t>Aligns the long-term interests of our executive officers with those of our shareholders to</w:t>
            </w:r>
          </w:p>
        </w:tc>
      </w:tr>
      <w:tr>
        <w:trPr>
          <w:trHeight w:val="224"/>
        </w:trPr>
        <w:tc>
          <w:tcPr>
            <w:tcW w:w="3200" w:type="dxa"/>
            <w:vAlign w:val="bottom"/>
            <w:tcBorders>
              <w:bottom w:val="single" w:sz="8" w:color="1077A9"/>
            </w:tcBorders>
          </w:tcPr>
          <w:p>
            <w:pPr>
              <w:spacing w:after="0"/>
              <w:rPr>
                <w:sz w:val="19"/>
                <w:szCs w:val="19"/>
                <w:color w:val="auto"/>
              </w:rPr>
            </w:pPr>
          </w:p>
        </w:tc>
        <w:tc>
          <w:tcPr>
            <w:tcW w:w="460" w:type="dxa"/>
            <w:vAlign w:val="bottom"/>
            <w:tcBorders>
              <w:bottom w:val="single" w:sz="8" w:color="1077A9"/>
            </w:tcBorders>
          </w:tcPr>
          <w:p>
            <w:pPr>
              <w:spacing w:after="0"/>
              <w:rPr>
                <w:sz w:val="19"/>
                <w:szCs w:val="19"/>
                <w:color w:val="auto"/>
              </w:rPr>
            </w:pPr>
          </w:p>
        </w:tc>
        <w:tc>
          <w:tcPr>
            <w:tcW w:w="7580" w:type="dxa"/>
            <w:vAlign w:val="bottom"/>
            <w:tcBorders>
              <w:bottom w:val="single" w:sz="8" w:color="1077A9"/>
            </w:tcBorders>
          </w:tcPr>
          <w:p>
            <w:pPr>
              <w:ind w:left="60"/>
              <w:spacing w:after="0"/>
              <w:rPr>
                <w:sz w:val="20"/>
                <w:szCs w:val="20"/>
                <w:color w:val="auto"/>
              </w:rPr>
            </w:pPr>
            <w:r>
              <w:rPr>
                <w:rFonts w:ascii="Arial" w:cs="Arial" w:eastAsia="Arial" w:hAnsi="Arial"/>
                <w:sz w:val="18"/>
                <w:szCs w:val="18"/>
                <w:color w:val="auto"/>
              </w:rPr>
              <w:t>support long-term value creation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Annual Nonequity Incentive Awards Earned in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2020, each NEO earned a payout under our annual nonequity incentive award program of 95% of his or her target payout level.</w:t>
      </w:r>
    </w:p>
    <w:p>
      <w:pPr>
        <w:spacing w:after="0" w:line="19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four selected corporate performance objectives with regard to our annual nonequity incentive award program, the assigned weight for each objective and the threshold, target and maximum performance level for each objective, as well as our strong financial performance under each objective for 2020,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100" w:type="dxa"/>
            <w:vAlign w:val="bottom"/>
            <w:gridSpan w:val="3"/>
            <w:shd w:val="clear" w:color="auto" w:fill="E5E6E6"/>
          </w:tcPr>
          <w:p>
            <w:pPr>
              <w:jc w:val="right"/>
              <w:ind w:right="808"/>
              <w:spacing w:after="0"/>
              <w:rPr>
                <w:sz w:val="20"/>
                <w:szCs w:val="20"/>
                <w:color w:val="auto"/>
              </w:rPr>
            </w:pPr>
            <w:r>
              <w:rPr>
                <w:rFonts w:ascii="Arial" w:cs="Arial" w:eastAsia="Arial" w:hAnsi="Arial"/>
                <w:sz w:val="14"/>
                <w:szCs w:val="14"/>
                <w:color w:val="auto"/>
              </w:rPr>
              <w:t>2020 Corporate Performance Levels</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shd w:val="clear" w:color="auto" w:fill="1077A9"/>
          </w:tcPr>
          <w:p>
            <w:pPr>
              <w:jc w:val="right"/>
              <w:ind w:right="768"/>
              <w:spacing w:after="0"/>
              <w:rPr>
                <w:sz w:val="20"/>
                <w:szCs w:val="20"/>
                <w:color w:val="auto"/>
              </w:rPr>
            </w:pPr>
            <w:r>
              <w:rPr>
                <w:rFonts w:ascii="Arial" w:cs="Arial" w:eastAsia="Arial" w:hAnsi="Arial"/>
                <w:sz w:val="14"/>
                <w:szCs w:val="14"/>
                <w:color w:val="FFFFFF"/>
              </w:rPr>
              <w:t>50%</w:t>
            </w:r>
          </w:p>
        </w:tc>
        <w:tc>
          <w:tcPr>
            <w:tcW w:w="1300" w:type="dxa"/>
            <w:vAlign w:val="bottom"/>
            <w:shd w:val="clear" w:color="auto" w:fill="1077A9"/>
          </w:tcPr>
          <w:p>
            <w:pPr>
              <w:jc w:val="right"/>
              <w:ind w:right="608"/>
              <w:spacing w:after="0"/>
              <w:rPr>
                <w:sz w:val="20"/>
                <w:szCs w:val="20"/>
                <w:color w:val="auto"/>
              </w:rPr>
            </w:pPr>
            <w:r>
              <w:rPr>
                <w:rFonts w:ascii="Arial" w:cs="Arial" w:eastAsia="Arial" w:hAnsi="Arial"/>
                <w:sz w:val="14"/>
                <w:szCs w:val="14"/>
                <w:color w:val="FFFFFF"/>
              </w:rPr>
              <w:t>100%</w:t>
            </w:r>
          </w:p>
        </w:tc>
        <w:tc>
          <w:tcPr>
            <w:tcW w:w="1200" w:type="dxa"/>
            <w:vAlign w:val="bottom"/>
            <w:shd w:val="clear" w:color="auto" w:fill="1077A9"/>
          </w:tcPr>
          <w:p>
            <w:pPr>
              <w:jc w:val="right"/>
              <w:ind w:right="468"/>
              <w:spacing w:after="0"/>
              <w:rPr>
                <w:sz w:val="20"/>
                <w:szCs w:val="20"/>
                <w:color w:val="auto"/>
              </w:rPr>
            </w:pPr>
            <w:r>
              <w:rPr>
                <w:rFonts w:ascii="Arial" w:cs="Arial" w:eastAsia="Arial" w:hAnsi="Arial"/>
                <w:sz w:val="14"/>
                <w:szCs w:val="14"/>
                <w:color w:val="FFFFFF"/>
              </w:rPr>
              <w:t>150%</w:t>
            </w: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80" w:type="dxa"/>
            <w:vAlign w:val="bottom"/>
            <w:shd w:val="clear" w:color="auto" w:fill="1077A9"/>
          </w:tcPr>
          <w:p>
            <w:pPr>
              <w:ind w:left="60"/>
              <w:spacing w:after="0"/>
              <w:rPr>
                <w:sz w:val="20"/>
                <w:szCs w:val="20"/>
                <w:color w:val="auto"/>
              </w:rPr>
            </w:pPr>
            <w:r>
              <w:rPr>
                <w:rFonts w:ascii="Arial" w:cs="Arial" w:eastAsia="Arial" w:hAnsi="Arial"/>
                <w:sz w:val="14"/>
                <w:szCs w:val="14"/>
                <w:color w:val="FFFFFF"/>
              </w:rPr>
              <w:t>Performance Objective</w:t>
            </w:r>
          </w:p>
        </w:tc>
        <w:tc>
          <w:tcPr>
            <w:tcW w:w="1800" w:type="dxa"/>
            <w:vAlign w:val="bottom"/>
            <w:shd w:val="clear" w:color="auto" w:fill="1077A9"/>
          </w:tcPr>
          <w:p>
            <w:pPr>
              <w:ind w:left="600"/>
              <w:spacing w:after="0"/>
              <w:rPr>
                <w:sz w:val="20"/>
                <w:szCs w:val="20"/>
                <w:color w:val="auto"/>
              </w:rPr>
            </w:pPr>
            <w:r>
              <w:rPr>
                <w:rFonts w:ascii="Arial" w:cs="Arial" w:eastAsia="Arial" w:hAnsi="Arial"/>
                <w:sz w:val="14"/>
                <w:szCs w:val="14"/>
                <w:color w:val="FFFFFF"/>
              </w:rPr>
              <w:t>Overall Weight</w:t>
            </w:r>
          </w:p>
        </w:tc>
        <w:tc>
          <w:tcPr>
            <w:tcW w:w="1600" w:type="dxa"/>
            <w:vAlign w:val="bottom"/>
            <w:shd w:val="clear" w:color="auto" w:fill="1077A9"/>
          </w:tcPr>
          <w:p>
            <w:pPr>
              <w:jc w:val="right"/>
              <w:ind w:right="588"/>
              <w:spacing w:after="0"/>
              <w:rPr>
                <w:sz w:val="20"/>
                <w:szCs w:val="20"/>
                <w:color w:val="auto"/>
              </w:rPr>
            </w:pPr>
            <w:r>
              <w:rPr>
                <w:rFonts w:ascii="Arial" w:cs="Arial" w:eastAsia="Arial" w:hAnsi="Arial"/>
                <w:sz w:val="14"/>
                <w:szCs w:val="14"/>
                <w:color w:val="FFFFFF"/>
              </w:rPr>
              <w:t>Threshold</w:t>
            </w:r>
          </w:p>
        </w:tc>
        <w:tc>
          <w:tcPr>
            <w:tcW w:w="1300" w:type="dxa"/>
            <w:vAlign w:val="bottom"/>
            <w:shd w:val="clear" w:color="auto" w:fill="1077A9"/>
          </w:tcPr>
          <w:p>
            <w:pPr>
              <w:jc w:val="right"/>
              <w:ind w:right="608"/>
              <w:spacing w:after="0"/>
              <w:rPr>
                <w:sz w:val="20"/>
                <w:szCs w:val="20"/>
                <w:color w:val="auto"/>
              </w:rPr>
            </w:pPr>
            <w:r>
              <w:rPr>
                <w:rFonts w:ascii="Arial" w:cs="Arial" w:eastAsia="Arial" w:hAnsi="Arial"/>
                <w:sz w:val="14"/>
                <w:szCs w:val="14"/>
                <w:color w:val="FFFFFF"/>
              </w:rPr>
              <w:t>Target</w:t>
            </w:r>
          </w:p>
        </w:tc>
        <w:tc>
          <w:tcPr>
            <w:tcW w:w="1200" w:type="dxa"/>
            <w:vAlign w:val="bottom"/>
            <w:shd w:val="clear" w:color="auto" w:fill="1077A9"/>
          </w:tcPr>
          <w:p>
            <w:pPr>
              <w:jc w:val="right"/>
              <w:ind w:right="348"/>
              <w:spacing w:after="0"/>
              <w:rPr>
                <w:sz w:val="20"/>
                <w:szCs w:val="20"/>
                <w:color w:val="auto"/>
              </w:rPr>
            </w:pPr>
            <w:r>
              <w:rPr>
                <w:rFonts w:ascii="Arial" w:cs="Arial" w:eastAsia="Arial" w:hAnsi="Arial"/>
                <w:sz w:val="14"/>
                <w:szCs w:val="14"/>
                <w:color w:val="FFFFFF"/>
              </w:rPr>
              <w:t>Maximum</w:t>
            </w:r>
          </w:p>
        </w:tc>
        <w:tc>
          <w:tcPr>
            <w:tcW w:w="1420" w:type="dxa"/>
            <w:vAlign w:val="bottom"/>
            <w:tcBorders>
              <w:right w:val="single" w:sz="8" w:color="1077A9"/>
            </w:tcBorders>
            <w:shd w:val="clear" w:color="auto" w:fill="1077A9"/>
          </w:tcPr>
          <w:p>
            <w:pPr>
              <w:jc w:val="right"/>
              <w:ind w:right="351"/>
              <w:spacing w:after="0"/>
              <w:rPr>
                <w:sz w:val="20"/>
                <w:szCs w:val="20"/>
                <w:color w:val="auto"/>
              </w:rPr>
            </w:pPr>
            <w:r>
              <w:rPr>
                <w:rFonts w:ascii="Arial" w:cs="Arial" w:eastAsia="Arial" w:hAnsi="Arial"/>
                <w:sz w:val="14"/>
                <w:szCs w:val="14"/>
                <w:color w:val="FFFFFF"/>
              </w:rPr>
              <w:t>2020 Actual</w:t>
            </w:r>
          </w:p>
        </w:tc>
        <w:tc>
          <w:tcPr>
            <w:tcW w:w="1340" w:type="dxa"/>
            <w:vAlign w:val="bottom"/>
            <w:shd w:val="clear" w:color="auto" w:fill="1077A9"/>
          </w:tcPr>
          <w:p>
            <w:pPr>
              <w:jc w:val="right"/>
              <w:ind w:right="268"/>
              <w:spacing w:after="0"/>
              <w:rPr>
                <w:sz w:val="20"/>
                <w:szCs w:val="20"/>
                <w:color w:val="auto"/>
              </w:rPr>
            </w:pPr>
            <w:r>
              <w:rPr>
                <w:rFonts w:ascii="Arial" w:cs="Arial" w:eastAsia="Arial" w:hAnsi="Arial"/>
                <w:sz w:val="14"/>
                <w:szCs w:val="14"/>
                <w:color w:val="FFFFFF"/>
              </w:rPr>
              <w:t>2020 Weight</w:t>
            </w:r>
          </w:p>
        </w:tc>
        <w:tc>
          <w:tcPr>
            <w:tcW w:w="20" w:type="dxa"/>
            <w:vAlign w:val="bottom"/>
          </w:tcPr>
          <w:p>
            <w:pPr>
              <w:spacing w:after="0"/>
              <w:rPr>
                <w:sz w:val="18"/>
                <w:szCs w:val="18"/>
                <w:color w:val="auto"/>
              </w:rPr>
            </w:pPr>
          </w:p>
        </w:tc>
      </w:tr>
      <w:tr>
        <w:trPr>
          <w:trHeight w:val="203"/>
        </w:trPr>
        <w:tc>
          <w:tcPr>
            <w:tcW w:w="2580" w:type="dxa"/>
            <w:vAlign w:val="bottom"/>
          </w:tcPr>
          <w:p>
            <w:pPr>
              <w:ind w:left="60"/>
              <w:spacing w:after="0"/>
              <w:rPr>
                <w:sz w:val="20"/>
                <w:szCs w:val="20"/>
                <w:color w:val="auto"/>
              </w:rPr>
            </w:pPr>
            <w:r>
              <w:rPr>
                <w:rFonts w:ascii="Arial" w:cs="Arial" w:eastAsia="Arial" w:hAnsi="Arial"/>
                <w:sz w:val="14"/>
                <w:szCs w:val="14"/>
                <w:color w:val="auto"/>
              </w:rPr>
              <w:t>Operating Earnings per Share</w:t>
            </w:r>
          </w:p>
        </w:tc>
        <w:tc>
          <w:tcPr>
            <w:tcW w:w="1800" w:type="dxa"/>
            <w:vAlign w:val="bottom"/>
          </w:tcPr>
          <w:p>
            <w:pPr>
              <w:ind w:left="1380"/>
              <w:spacing w:after="0"/>
              <w:rPr>
                <w:sz w:val="20"/>
                <w:szCs w:val="20"/>
                <w:color w:val="auto"/>
              </w:rPr>
            </w:pPr>
            <w:r>
              <w:rPr>
                <w:rFonts w:ascii="Arial" w:cs="Arial" w:eastAsia="Arial" w:hAnsi="Arial"/>
                <w:sz w:val="14"/>
                <w:szCs w:val="14"/>
                <w:color w:val="auto"/>
              </w:rPr>
              <w:t>40.0%</w:t>
            </w:r>
          </w:p>
        </w:tc>
        <w:tc>
          <w:tcPr>
            <w:tcW w:w="1600" w:type="dxa"/>
            <w:vAlign w:val="bottom"/>
          </w:tcPr>
          <w:p>
            <w:pPr>
              <w:jc w:val="right"/>
              <w:ind w:right="308"/>
              <w:spacing w:after="0"/>
              <w:rPr>
                <w:sz w:val="20"/>
                <w:szCs w:val="20"/>
                <w:color w:val="auto"/>
              </w:rPr>
            </w:pPr>
            <w:r>
              <w:rPr>
                <w:rFonts w:ascii="Arial" w:cs="Arial" w:eastAsia="Arial" w:hAnsi="Arial"/>
                <w:sz w:val="14"/>
                <w:szCs w:val="14"/>
                <w:color w:val="auto"/>
              </w:rPr>
              <w:t>$  2.30</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  2.37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  2.42</w:t>
            </w:r>
          </w:p>
        </w:tc>
        <w:tc>
          <w:tcPr>
            <w:tcW w:w="1420" w:type="dxa"/>
            <w:vAlign w:val="bottom"/>
          </w:tcPr>
          <w:p>
            <w:pPr>
              <w:jc w:val="right"/>
              <w:ind w:right="71"/>
              <w:spacing w:after="0" w:line="202" w:lineRule="exact"/>
              <w:rPr>
                <w:sz w:val="20"/>
                <w:szCs w:val="20"/>
                <w:color w:val="auto"/>
              </w:rPr>
            </w:pPr>
            <w:r>
              <w:rPr>
                <w:rFonts w:ascii="Arial" w:cs="Arial" w:eastAsia="Arial" w:hAnsi="Arial"/>
                <w:sz w:val="14"/>
                <w:szCs w:val="14"/>
                <w:color w:val="auto"/>
              </w:rPr>
              <w:t>$1.98</w:t>
            </w:r>
            <w:r>
              <w:rPr>
                <w:rFonts w:ascii="Arial" w:cs="Arial" w:eastAsia="Arial" w:hAnsi="Arial"/>
                <w:sz w:val="23"/>
                <w:szCs w:val="23"/>
                <w:color w:val="auto"/>
                <w:vertAlign w:val="superscript"/>
              </w:rPr>
              <w:t>2</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r>
      <w:tr>
        <w:trPr>
          <w:trHeight w:val="162"/>
        </w:trPr>
        <w:tc>
          <w:tcPr>
            <w:tcW w:w="2580" w:type="dxa"/>
            <w:vAlign w:val="bottom"/>
            <w:shd w:val="clear" w:color="auto" w:fill="E5E6E6"/>
          </w:tcPr>
          <w:p>
            <w:pPr>
              <w:ind w:left="60"/>
              <w:spacing w:after="0" w:line="162" w:lineRule="exact"/>
              <w:rPr>
                <w:sz w:val="20"/>
                <w:szCs w:val="20"/>
                <w:color w:val="auto"/>
              </w:rPr>
            </w:pPr>
            <w:r>
              <w:rPr>
                <w:rFonts w:ascii="Arial" w:cs="Arial" w:eastAsia="Arial" w:hAnsi="Arial"/>
                <w:sz w:val="12"/>
                <w:szCs w:val="12"/>
                <w:color w:val="auto"/>
              </w:rPr>
              <w:t>NPAs / Total Assets</w:t>
            </w:r>
            <w:r>
              <w:rPr>
                <w:rFonts w:ascii="Arial" w:cs="Arial" w:eastAsia="Arial" w:hAnsi="Arial"/>
                <w:sz w:val="18"/>
                <w:szCs w:val="18"/>
                <w:color w:val="auto"/>
                <w:vertAlign w:val="superscript"/>
              </w:rPr>
              <w:t>1</w:t>
            </w:r>
          </w:p>
        </w:tc>
        <w:tc>
          <w:tcPr>
            <w:tcW w:w="1800" w:type="dxa"/>
            <w:vAlign w:val="bottom"/>
            <w:shd w:val="clear" w:color="auto" w:fill="E5E6E6"/>
          </w:tcPr>
          <w:p>
            <w:pPr>
              <w:ind w:left="1380"/>
              <w:spacing w:after="0"/>
              <w:rPr>
                <w:sz w:val="20"/>
                <w:szCs w:val="20"/>
                <w:color w:val="auto"/>
              </w:rPr>
            </w:pPr>
            <w:r>
              <w:rPr>
                <w:rFonts w:ascii="Arial" w:cs="Arial" w:eastAsia="Arial" w:hAnsi="Arial"/>
                <w:sz w:val="14"/>
                <w:szCs w:val="14"/>
                <w:color w:val="auto"/>
              </w:rPr>
              <w:t>25.0</w:t>
            </w:r>
          </w:p>
        </w:tc>
        <w:tc>
          <w:tcPr>
            <w:tcW w:w="1600" w:type="dxa"/>
            <w:vAlign w:val="bottom"/>
            <w:shd w:val="clear" w:color="auto" w:fill="E5E6E6"/>
          </w:tcPr>
          <w:p>
            <w:pPr>
              <w:jc w:val="right"/>
              <w:ind w:right="188"/>
              <w:spacing w:after="0"/>
              <w:rPr>
                <w:sz w:val="20"/>
                <w:szCs w:val="20"/>
                <w:color w:val="auto"/>
              </w:rPr>
            </w:pPr>
            <w:r>
              <w:rPr>
                <w:rFonts w:ascii="Arial" w:cs="Arial" w:eastAsia="Arial" w:hAnsi="Arial"/>
                <w:sz w:val="14"/>
                <w:szCs w:val="14"/>
                <w:color w:val="auto"/>
              </w:rPr>
              <w:t>0.58%</w:t>
            </w:r>
          </w:p>
        </w:tc>
        <w:tc>
          <w:tcPr>
            <w:tcW w:w="130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0.40%</w:t>
            </w:r>
          </w:p>
        </w:tc>
        <w:tc>
          <w:tcPr>
            <w:tcW w:w="1200" w:type="dxa"/>
            <w:vAlign w:val="bottom"/>
            <w:shd w:val="clear" w:color="auto" w:fill="E5E6E6"/>
          </w:tcPr>
          <w:p>
            <w:pPr>
              <w:jc w:val="right"/>
              <w:spacing w:after="0"/>
              <w:rPr>
                <w:sz w:val="20"/>
                <w:szCs w:val="20"/>
                <w:color w:val="auto"/>
              </w:rPr>
            </w:pPr>
            <w:r>
              <w:rPr>
                <w:rFonts w:ascii="Arial" w:cs="Arial" w:eastAsia="Arial" w:hAnsi="Arial"/>
                <w:sz w:val="14"/>
                <w:szCs w:val="14"/>
                <w:color w:val="auto"/>
              </w:rPr>
              <w:t>0.30%</w:t>
            </w:r>
          </w:p>
        </w:tc>
        <w:tc>
          <w:tcPr>
            <w:tcW w:w="1420" w:type="dxa"/>
            <w:vAlign w:val="bottom"/>
            <w:tcBorders>
              <w:right w:val="single" w:sz="8" w:color="E5E6E6"/>
            </w:tcBorders>
            <w:shd w:val="clear" w:color="auto" w:fill="E5E6E6"/>
          </w:tcPr>
          <w:p>
            <w:pPr>
              <w:jc w:val="right"/>
              <w:ind w:right="11"/>
              <w:spacing w:after="0"/>
              <w:rPr>
                <w:sz w:val="20"/>
                <w:szCs w:val="20"/>
                <w:color w:val="auto"/>
              </w:rPr>
            </w:pPr>
            <w:r>
              <w:rPr>
                <w:rFonts w:ascii="Arial" w:cs="Arial" w:eastAsia="Arial" w:hAnsi="Arial"/>
                <w:sz w:val="14"/>
                <w:szCs w:val="14"/>
                <w:color w:val="auto"/>
              </w:rPr>
              <w:t>0.35%</w:t>
            </w:r>
          </w:p>
        </w:tc>
        <w:tc>
          <w:tcPr>
            <w:tcW w:w="1340" w:type="dxa"/>
            <w:vAlign w:val="bottom"/>
            <w:shd w:val="clear" w:color="auto" w:fill="E5E6E6"/>
          </w:tcPr>
          <w:p>
            <w:pPr>
              <w:jc w:val="right"/>
              <w:spacing w:after="0"/>
              <w:rPr>
                <w:sz w:val="20"/>
                <w:szCs w:val="20"/>
                <w:color w:val="auto"/>
              </w:rPr>
            </w:pPr>
            <w:r>
              <w:rPr>
                <w:rFonts w:ascii="Arial" w:cs="Arial" w:eastAsia="Arial" w:hAnsi="Arial"/>
                <w:sz w:val="14"/>
                <w:szCs w:val="14"/>
                <w:color w:val="auto"/>
              </w:rPr>
              <w:t>31.25%</w:t>
            </w:r>
          </w:p>
        </w:tc>
        <w:tc>
          <w:tcPr>
            <w:tcW w:w="20" w:type="dxa"/>
            <w:vAlign w:val="bottom"/>
          </w:tcPr>
          <w:p>
            <w:pPr>
              <w:spacing w:after="0"/>
              <w:rPr>
                <w:sz w:val="14"/>
                <w:szCs w:val="14"/>
                <w:color w:val="auto"/>
              </w:rPr>
            </w:pPr>
          </w:p>
        </w:tc>
      </w:tr>
      <w:tr>
        <w:trPr>
          <w:trHeight w:val="162"/>
        </w:trPr>
        <w:tc>
          <w:tcPr>
            <w:tcW w:w="2580" w:type="dxa"/>
            <w:vAlign w:val="bottom"/>
          </w:tcPr>
          <w:p>
            <w:pPr>
              <w:ind w:left="60"/>
              <w:spacing w:after="0"/>
              <w:rPr>
                <w:sz w:val="20"/>
                <w:szCs w:val="20"/>
                <w:color w:val="auto"/>
              </w:rPr>
            </w:pPr>
            <w:r>
              <w:rPr>
                <w:rFonts w:ascii="Arial" w:cs="Arial" w:eastAsia="Arial" w:hAnsi="Arial"/>
                <w:sz w:val="14"/>
                <w:szCs w:val="14"/>
                <w:color w:val="auto"/>
              </w:rPr>
              <w:t>Operating Efficiency Ratio</w:t>
            </w:r>
          </w:p>
        </w:tc>
        <w:tc>
          <w:tcPr>
            <w:tcW w:w="1800" w:type="dxa"/>
            <w:vAlign w:val="bottom"/>
          </w:tcPr>
          <w:p>
            <w:pPr>
              <w:ind w:left="1380"/>
              <w:spacing w:after="0"/>
              <w:rPr>
                <w:sz w:val="20"/>
                <w:szCs w:val="20"/>
                <w:color w:val="auto"/>
              </w:rPr>
            </w:pPr>
            <w:r>
              <w:rPr>
                <w:rFonts w:ascii="Arial" w:cs="Arial" w:eastAsia="Arial" w:hAnsi="Arial"/>
                <w:sz w:val="14"/>
                <w:szCs w:val="14"/>
                <w:color w:val="auto"/>
              </w:rPr>
              <w:t>20.0</w:t>
            </w: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57.00%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55.00%</w:t>
            </w:r>
          </w:p>
        </w:tc>
        <w:tc>
          <w:tcPr>
            <w:tcW w:w="1200" w:type="dxa"/>
            <w:vAlign w:val="bottom"/>
          </w:tcPr>
          <w:p>
            <w:pPr>
              <w:jc w:val="right"/>
              <w:spacing w:after="0"/>
              <w:rPr>
                <w:sz w:val="20"/>
                <w:szCs w:val="20"/>
                <w:color w:val="auto"/>
              </w:rPr>
            </w:pPr>
            <w:r>
              <w:rPr>
                <w:rFonts w:ascii="Arial" w:cs="Arial" w:eastAsia="Arial" w:hAnsi="Arial"/>
                <w:sz w:val="14"/>
                <w:szCs w:val="14"/>
                <w:color w:val="auto"/>
              </w:rPr>
              <w:t>52.00%</w:t>
            </w:r>
          </w:p>
        </w:tc>
        <w:tc>
          <w:tcPr>
            <w:tcW w:w="1420" w:type="dxa"/>
            <w:vAlign w:val="bottom"/>
          </w:tcPr>
          <w:p>
            <w:pPr>
              <w:jc w:val="right"/>
              <w:spacing w:after="0" w:line="162" w:lineRule="exact"/>
              <w:rPr>
                <w:sz w:val="20"/>
                <w:szCs w:val="20"/>
                <w:color w:val="auto"/>
              </w:rPr>
            </w:pPr>
            <w:r>
              <w:rPr>
                <w:rFonts w:ascii="Arial" w:cs="Arial" w:eastAsia="Arial" w:hAnsi="Arial"/>
                <w:sz w:val="12"/>
                <w:szCs w:val="12"/>
                <w:color w:val="auto"/>
              </w:rPr>
              <w:t>54.64%</w:t>
            </w:r>
            <w:r>
              <w:rPr>
                <w:rFonts w:ascii="Arial" w:cs="Arial" w:eastAsia="Arial" w:hAnsi="Arial"/>
                <w:sz w:val="18"/>
                <w:szCs w:val="18"/>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4"/>
                <w:szCs w:val="14"/>
                <w:color w:val="auto"/>
              </w:rPr>
              <w:t>21.20%</w:t>
            </w:r>
          </w:p>
        </w:tc>
        <w:tc>
          <w:tcPr>
            <w:tcW w:w="20" w:type="dxa"/>
            <w:vAlign w:val="bottom"/>
          </w:tcPr>
          <w:p>
            <w:pPr>
              <w:spacing w:after="0"/>
              <w:rPr>
                <w:sz w:val="14"/>
                <w:szCs w:val="14"/>
                <w:color w:val="auto"/>
              </w:rPr>
            </w:pPr>
          </w:p>
        </w:tc>
      </w:tr>
      <w:tr>
        <w:trPr>
          <w:trHeight w:val="203"/>
        </w:trPr>
        <w:tc>
          <w:tcPr>
            <w:tcW w:w="2580" w:type="dxa"/>
            <w:vAlign w:val="bottom"/>
            <w:shd w:val="clear" w:color="auto" w:fill="E5E6E6"/>
          </w:tcPr>
          <w:p>
            <w:pPr>
              <w:ind w:left="60"/>
              <w:spacing w:after="0"/>
              <w:rPr>
                <w:sz w:val="20"/>
                <w:szCs w:val="20"/>
                <w:color w:val="auto"/>
              </w:rPr>
            </w:pPr>
            <w:r>
              <w:rPr>
                <w:rFonts w:ascii="Arial" w:cs="Arial" w:eastAsia="Arial" w:hAnsi="Arial"/>
                <w:sz w:val="14"/>
                <w:szCs w:val="14"/>
                <w:color w:val="auto"/>
              </w:rPr>
              <w:t>Customer Satisfaction Rating</w:t>
            </w:r>
          </w:p>
        </w:tc>
        <w:tc>
          <w:tcPr>
            <w:tcW w:w="1800" w:type="dxa"/>
            <w:vAlign w:val="bottom"/>
            <w:shd w:val="clear" w:color="auto" w:fill="E5E6E6"/>
          </w:tcPr>
          <w:p>
            <w:pPr>
              <w:ind w:left="1380"/>
              <w:spacing w:after="0"/>
              <w:rPr>
                <w:sz w:val="20"/>
                <w:szCs w:val="20"/>
                <w:color w:val="auto"/>
              </w:rPr>
            </w:pPr>
            <w:r>
              <w:rPr>
                <w:rFonts w:ascii="Arial" w:cs="Arial" w:eastAsia="Arial" w:hAnsi="Arial"/>
                <w:sz w:val="14"/>
                <w:szCs w:val="14"/>
                <w:color w:val="auto"/>
              </w:rPr>
              <w:t>15.0</w:t>
            </w:r>
          </w:p>
        </w:tc>
        <w:tc>
          <w:tcPr>
            <w:tcW w:w="160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95.50</w:t>
            </w:r>
            <w:r>
              <w:rPr>
                <w:rFonts w:ascii="Arial" w:cs="Arial" w:eastAsia="Arial" w:hAnsi="Arial"/>
                <w:sz w:val="17"/>
                <w:szCs w:val="17"/>
                <w:color w:val="auto"/>
              </w:rPr>
              <w:t>%</w:t>
            </w:r>
          </w:p>
        </w:tc>
        <w:tc>
          <w:tcPr>
            <w:tcW w:w="130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96.50%</w:t>
            </w:r>
          </w:p>
        </w:tc>
        <w:tc>
          <w:tcPr>
            <w:tcW w:w="1200" w:type="dxa"/>
            <w:vAlign w:val="bottom"/>
            <w:shd w:val="clear" w:color="auto" w:fill="E5E6E6"/>
          </w:tcPr>
          <w:p>
            <w:pPr>
              <w:jc w:val="right"/>
              <w:spacing w:after="0"/>
              <w:rPr>
                <w:sz w:val="20"/>
                <w:szCs w:val="20"/>
                <w:color w:val="auto"/>
              </w:rPr>
            </w:pPr>
            <w:r>
              <w:rPr>
                <w:rFonts w:ascii="Arial" w:cs="Arial" w:eastAsia="Arial" w:hAnsi="Arial"/>
                <w:sz w:val="14"/>
                <w:szCs w:val="14"/>
                <w:color w:val="auto"/>
              </w:rPr>
              <w:t>97.50%</w:t>
            </w:r>
          </w:p>
        </w:tc>
        <w:tc>
          <w:tcPr>
            <w:tcW w:w="1420" w:type="dxa"/>
            <w:vAlign w:val="bottom"/>
            <w:tcBorders>
              <w:right w:val="single" w:sz="8" w:color="E5E6E6"/>
            </w:tcBorders>
            <w:shd w:val="clear" w:color="auto" w:fill="E5E6E6"/>
          </w:tcPr>
          <w:p>
            <w:pPr>
              <w:jc w:val="right"/>
              <w:ind w:right="11"/>
              <w:spacing w:after="0"/>
              <w:rPr>
                <w:sz w:val="20"/>
                <w:szCs w:val="20"/>
                <w:color w:val="auto"/>
              </w:rPr>
            </w:pPr>
            <w:r>
              <w:rPr>
                <w:rFonts w:ascii="Arial" w:cs="Arial" w:eastAsia="Arial" w:hAnsi="Arial"/>
                <w:sz w:val="14"/>
                <w:szCs w:val="14"/>
                <w:color w:val="auto"/>
              </w:rPr>
              <w:t>97.40%</w:t>
            </w:r>
          </w:p>
        </w:tc>
        <w:tc>
          <w:tcPr>
            <w:tcW w:w="1340" w:type="dxa"/>
            <w:vAlign w:val="bottom"/>
            <w:tcBorders>
              <w:bottom w:val="single" w:sz="8" w:color="auto"/>
            </w:tcBorders>
            <w:shd w:val="clear" w:color="auto" w:fill="E5E6E6"/>
          </w:tcPr>
          <w:p>
            <w:pPr>
              <w:jc w:val="right"/>
              <w:spacing w:after="0"/>
              <w:rPr>
                <w:sz w:val="20"/>
                <w:szCs w:val="20"/>
                <w:color w:val="auto"/>
              </w:rPr>
            </w:pPr>
            <w:r>
              <w:rPr>
                <w:rFonts w:ascii="Arial" w:cs="Arial" w:eastAsia="Arial" w:hAnsi="Arial"/>
                <w:sz w:val="14"/>
                <w:szCs w:val="14"/>
                <w:color w:val="auto"/>
              </w:rPr>
              <w:t>21.75%</w:t>
            </w:r>
          </w:p>
        </w:tc>
        <w:tc>
          <w:tcPr>
            <w:tcW w:w="20" w:type="dxa"/>
            <w:vAlign w:val="bottom"/>
            <w:tcBorders>
              <w:bottom w:val="single" w:sz="8" w:color="auto"/>
            </w:tcBorders>
          </w:tcPr>
          <w:p>
            <w:pPr>
              <w:spacing w:after="0"/>
              <w:rPr>
                <w:sz w:val="17"/>
                <w:szCs w:val="17"/>
                <w:color w:val="auto"/>
              </w:rPr>
            </w:pPr>
          </w:p>
        </w:tc>
      </w:tr>
      <w:tr>
        <w:trPr>
          <w:trHeight w:val="156"/>
        </w:trPr>
        <w:tc>
          <w:tcPr>
            <w:tcW w:w="25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74.20%</w:t>
            </w:r>
          </w:p>
        </w:tc>
        <w:tc>
          <w:tcPr>
            <w:tcW w:w="20" w:type="dxa"/>
            <w:vAlign w:val="bottom"/>
            <w:tcBorders>
              <w:bottom w:val="single" w:sz="8" w:color="auto"/>
            </w:tcBorders>
            <w:shd w:val="clear" w:color="auto" w:fill="000000"/>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-856615</wp:posOffset>
            </wp:positionV>
            <wp:extent cx="435483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54830" cy="274320"/>
                    </a:xfrm>
                    <a:prstGeom prst="rect">
                      <a:avLst/>
                    </a:prstGeom>
                    <a:noFill/>
                  </pic:spPr>
                </pic:pic>
              </a:graphicData>
            </a:graphic>
          </wp:anchor>
        </w:drawing>
      </w:r>
    </w:p>
    <w:p>
      <w:pPr>
        <w:spacing w:after="0" w:line="55" w:lineRule="exact"/>
        <w:rPr>
          <w:sz w:val="20"/>
          <w:szCs w:val="20"/>
          <w:color w:val="auto"/>
        </w:rPr>
      </w:pPr>
    </w:p>
    <w:p>
      <w:pPr>
        <w:ind w:left="120" w:hanging="112"/>
        <w:spacing w:after="0"/>
        <w:tabs>
          <w:tab w:leader="none" w:pos="120"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NPAs / Total Assets metric excludes restructured loans.</w:t>
      </w:r>
    </w:p>
    <w:p>
      <w:pPr>
        <w:spacing w:after="0" w:line="19" w:lineRule="exact"/>
        <w:rPr>
          <w:sz w:val="20"/>
          <w:szCs w:val="20"/>
          <w:color w:val="auto"/>
        </w:rPr>
      </w:pPr>
    </w:p>
    <w:p>
      <w:pPr>
        <w:jc w:val="both"/>
        <w:ind w:left="120" w:right="60" w:hanging="112"/>
        <w:spacing w:after="0" w:line="199" w:lineRule="auto"/>
        <w:tabs>
          <w:tab w:leader="none" w:pos="120" w:val="left"/>
        </w:tabs>
        <w:numPr>
          <w:ilvl w:val="0"/>
          <w:numId w:val="32"/>
        </w:numPr>
        <w:rPr>
          <w:rFonts w:ascii="Arial" w:cs="Arial" w:eastAsia="Arial" w:hAnsi="Arial"/>
          <w:sz w:val="24"/>
          <w:szCs w:val="24"/>
          <w:color w:val="auto"/>
          <w:vertAlign w:val="superscript"/>
        </w:rPr>
      </w:pPr>
      <w:r>
        <w:rPr>
          <w:rFonts w:ascii="Arial" w:cs="Arial" w:eastAsia="Arial" w:hAnsi="Arial"/>
          <w:sz w:val="14"/>
          <w:szCs w:val="14"/>
          <w:color w:val="auto"/>
        </w:rPr>
        <w:t>Both our operating earnings per share and operating efficiency ratio excludes merger-related and other charges. The table below summarizes the reconciliations of these non-GAAP measures to the most directly comparable measures as reported in accordance with GAAP. Please also see related disclosures in United’s Annual Report on Form 10-K for the year ended December 31, 2020 for the non-GAAP to GAAP reconciliation and other relevant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93345</wp:posOffset>
            </wp:positionV>
            <wp:extent cx="8890"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shd w:val="clear" w:color="auto" w:fill="1077A9"/>
          </w:tcPr>
          <w:p>
            <w:pPr>
              <w:spacing w:after="0"/>
              <w:rPr>
                <w:sz w:val="14"/>
                <w:szCs w:val="14"/>
                <w:color w:val="auto"/>
              </w:rPr>
            </w:pPr>
          </w:p>
        </w:tc>
        <w:tc>
          <w:tcPr>
            <w:tcW w:w="1740" w:type="dxa"/>
            <w:vAlign w:val="bottom"/>
            <w:gridSpan w:val="2"/>
            <w:shd w:val="clear" w:color="auto" w:fill="1077A9"/>
          </w:tcPr>
          <w:p>
            <w:pPr>
              <w:jc w:val="right"/>
              <w:ind w:right="340"/>
              <w:spacing w:after="0"/>
              <w:rPr>
                <w:sz w:val="20"/>
                <w:szCs w:val="20"/>
                <w:color w:val="auto"/>
              </w:rPr>
            </w:pPr>
            <w:r>
              <w:rPr>
                <w:rFonts w:ascii="Arial" w:cs="Arial" w:eastAsia="Arial" w:hAnsi="Arial"/>
                <w:sz w:val="14"/>
                <w:szCs w:val="14"/>
                <w:color w:val="FFFFFF"/>
              </w:rPr>
              <w:t>For the Year Ended</w:t>
            </w:r>
          </w:p>
        </w:tc>
        <w:tc>
          <w:tcPr>
            <w:tcW w:w="5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80" w:type="dxa"/>
            <w:vAlign w:val="bottom"/>
            <w:shd w:val="clear" w:color="auto" w:fill="1077A9"/>
          </w:tcPr>
          <w:p>
            <w:pPr>
              <w:spacing w:after="0"/>
              <w:rPr>
                <w:sz w:val="13"/>
                <w:szCs w:val="13"/>
                <w:color w:val="auto"/>
              </w:rPr>
            </w:pPr>
          </w:p>
        </w:tc>
        <w:tc>
          <w:tcPr>
            <w:tcW w:w="1740" w:type="dxa"/>
            <w:vAlign w:val="bottom"/>
            <w:gridSpan w:val="2"/>
            <w:shd w:val="clear" w:color="auto" w:fill="1077A9"/>
          </w:tcPr>
          <w:p>
            <w:pPr>
              <w:jc w:val="right"/>
              <w:ind w:right="320"/>
              <w:spacing w:after="0" w:line="157" w:lineRule="exact"/>
              <w:rPr>
                <w:sz w:val="20"/>
                <w:szCs w:val="20"/>
                <w:color w:val="auto"/>
              </w:rPr>
            </w:pPr>
            <w:r>
              <w:rPr>
                <w:rFonts w:ascii="Arial" w:cs="Arial" w:eastAsia="Arial" w:hAnsi="Arial"/>
                <w:sz w:val="14"/>
                <w:szCs w:val="14"/>
                <w:color w:val="FFFFFF"/>
              </w:rPr>
              <w:t>December 31, 2020</w:t>
            </w:r>
          </w:p>
        </w:tc>
        <w:tc>
          <w:tcPr>
            <w:tcW w:w="5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40"/>
              <w:spacing w:after="0"/>
              <w:rPr>
                <w:sz w:val="20"/>
                <w:szCs w:val="20"/>
                <w:color w:val="auto"/>
              </w:rPr>
            </w:pPr>
            <w:r>
              <w:rPr>
                <w:rFonts w:ascii="Arial" w:cs="Arial" w:eastAsia="Arial" w:hAnsi="Arial"/>
                <w:sz w:val="14"/>
                <w:szCs w:val="14"/>
                <w:color w:val="auto"/>
              </w:rPr>
              <w:t>Diluted earnings per common share reconciliation</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E5E6E6"/>
          </w:tcPr>
          <w:p>
            <w:pPr>
              <w:ind w:left="260"/>
              <w:spacing w:after="0"/>
              <w:rPr>
                <w:sz w:val="20"/>
                <w:szCs w:val="20"/>
                <w:color w:val="auto"/>
              </w:rPr>
            </w:pPr>
            <w:r>
              <w:rPr>
                <w:rFonts w:ascii="Arial" w:cs="Arial" w:eastAsia="Arial" w:hAnsi="Arial"/>
                <w:sz w:val="14"/>
                <w:szCs w:val="14"/>
                <w:color w:val="auto"/>
              </w:rPr>
              <w:t>Diluted earnings per common share - GAAP</w:t>
            </w:r>
          </w:p>
        </w:tc>
        <w:tc>
          <w:tcPr>
            <w:tcW w:w="1740" w:type="dxa"/>
            <w:vAlign w:val="bottom"/>
            <w:gridSpan w:val="2"/>
            <w:shd w:val="clear" w:color="auto" w:fill="E5E6E6"/>
          </w:tcPr>
          <w:p>
            <w:pPr>
              <w:jc w:val="right"/>
              <w:ind w:right="200"/>
              <w:spacing w:after="0"/>
              <w:rPr>
                <w:sz w:val="20"/>
                <w:szCs w:val="20"/>
                <w:color w:val="auto"/>
              </w:rPr>
            </w:pPr>
            <w:r>
              <w:rPr>
                <w:rFonts w:ascii="Arial" w:cs="Arial" w:eastAsia="Arial" w:hAnsi="Arial"/>
                <w:sz w:val="14"/>
                <w:szCs w:val="14"/>
                <w:color w:val="auto"/>
              </w:rPr>
              <w:t>$1.91</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400"/>
              <w:spacing w:after="0"/>
              <w:rPr>
                <w:sz w:val="20"/>
                <w:szCs w:val="20"/>
                <w:color w:val="auto"/>
              </w:rPr>
            </w:pPr>
            <w:r>
              <w:rPr>
                <w:rFonts w:ascii="Arial" w:cs="Arial" w:eastAsia="Arial" w:hAnsi="Arial"/>
                <w:sz w:val="14"/>
                <w:szCs w:val="14"/>
                <w:color w:val="auto"/>
              </w:rPr>
              <w:t>Merger-related and other charges</w:t>
            </w:r>
          </w:p>
        </w:tc>
        <w:tc>
          <w:tcPr>
            <w:tcW w:w="1740" w:type="dxa"/>
            <w:vAlign w:val="bottom"/>
            <w:gridSpan w:val="2"/>
          </w:tcPr>
          <w:p>
            <w:pPr>
              <w:jc w:val="right"/>
              <w:ind w:right="200"/>
              <w:spacing w:after="0"/>
              <w:rPr>
                <w:sz w:val="20"/>
                <w:szCs w:val="20"/>
                <w:color w:val="auto"/>
              </w:rPr>
            </w:pPr>
            <w:r>
              <w:rPr>
                <w:rFonts w:ascii="Arial" w:cs="Arial" w:eastAsia="Arial" w:hAnsi="Arial"/>
                <w:sz w:val="14"/>
                <w:szCs w:val="14"/>
                <w:color w:val="auto"/>
              </w:rPr>
              <w:t>0.07</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80" w:type="dxa"/>
            <w:vAlign w:val="bottom"/>
            <w:tcBorders>
              <w:top w:val="single" w:sz="8" w:color="E5E6E6"/>
              <w:bottom w:val="single" w:sz="8" w:color="E5E6E6"/>
            </w:tcBorders>
            <w:shd w:val="clear" w:color="auto" w:fill="E5E6E6"/>
          </w:tcPr>
          <w:p>
            <w:pPr>
              <w:ind w:left="520"/>
              <w:spacing w:after="0"/>
              <w:rPr>
                <w:sz w:val="20"/>
                <w:szCs w:val="20"/>
                <w:color w:val="auto"/>
              </w:rPr>
            </w:pPr>
            <w:r>
              <w:rPr>
                <w:rFonts w:ascii="Arial" w:cs="Arial" w:eastAsia="Arial" w:hAnsi="Arial"/>
                <w:sz w:val="14"/>
                <w:szCs w:val="14"/>
                <w:color w:val="auto"/>
              </w:rPr>
              <w:t>Diluted earnings per common share - operating</w:t>
            </w:r>
          </w:p>
        </w:tc>
        <w:tc>
          <w:tcPr>
            <w:tcW w:w="1540" w:type="dxa"/>
            <w:vAlign w:val="bottom"/>
            <w:tcBorders>
              <w:top w:val="single" w:sz="8" w:color="auto"/>
              <w:bottom w:val="single" w:sz="8" w:color="auto"/>
            </w:tcBorders>
            <w:shd w:val="clear" w:color="auto" w:fill="E5E6E6"/>
          </w:tcPr>
          <w:p>
            <w:pPr>
              <w:jc w:val="right"/>
              <w:spacing w:after="0"/>
              <w:rPr>
                <w:sz w:val="20"/>
                <w:szCs w:val="20"/>
                <w:color w:val="auto"/>
              </w:rPr>
            </w:pPr>
            <w:r>
              <w:rPr>
                <w:rFonts w:ascii="Arial" w:cs="Arial" w:eastAsia="Arial" w:hAnsi="Arial"/>
                <w:sz w:val="14"/>
                <w:szCs w:val="14"/>
                <w:color w:val="auto"/>
              </w:rPr>
              <w:t>$1.98</w:t>
            </w:r>
          </w:p>
        </w:tc>
        <w:tc>
          <w:tcPr>
            <w:tcW w:w="2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E5E6E6"/>
            </w:tcBorders>
            <w:shd w:val="clear" w:color="auto" w:fill="E5E6E6"/>
          </w:tcPr>
          <w:p>
            <w:pPr>
              <w:ind w:left="400"/>
              <w:spacing w:after="0"/>
              <w:rPr>
                <w:sz w:val="20"/>
                <w:szCs w:val="20"/>
                <w:color w:val="auto"/>
              </w:rPr>
            </w:pPr>
            <w:r>
              <w:rPr>
                <w:rFonts w:ascii="Arial" w:cs="Arial" w:eastAsia="Arial" w:hAnsi="Arial"/>
                <w:sz w:val="14"/>
                <w:szCs w:val="14"/>
                <w:color w:val="auto"/>
              </w:rPr>
              <w:t>Efficiency ratio reconciliation</w:t>
            </w:r>
          </w:p>
        </w:tc>
        <w:tc>
          <w:tcPr>
            <w:tcW w:w="1540" w:type="dxa"/>
            <w:vAlign w:val="bottom"/>
            <w:tcBorders>
              <w:bottom w:val="single" w:sz="8" w:color="E5E6E6"/>
            </w:tcBorders>
            <w:shd w:val="clear" w:color="auto" w:fill="E5E6E6"/>
          </w:tcPr>
          <w:p>
            <w:pPr>
              <w:spacing w:after="0"/>
              <w:rPr>
                <w:sz w:val="15"/>
                <w:szCs w:val="15"/>
                <w:color w:val="auto"/>
              </w:rPr>
            </w:pPr>
          </w:p>
        </w:tc>
        <w:tc>
          <w:tcPr>
            <w:tcW w:w="200" w:type="dxa"/>
            <w:vAlign w:val="bottom"/>
            <w:tcBorders>
              <w:bottom w:val="single" w:sz="8" w:color="E5E6E6"/>
            </w:tcBorders>
            <w:shd w:val="clear" w:color="auto" w:fill="E5E6E6"/>
          </w:tcPr>
          <w:p>
            <w:pPr>
              <w:spacing w:after="0"/>
              <w:rPr>
                <w:sz w:val="15"/>
                <w:szCs w:val="15"/>
                <w:color w:val="auto"/>
              </w:rPr>
            </w:pPr>
          </w:p>
        </w:tc>
        <w:tc>
          <w:tcPr>
            <w:tcW w:w="5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520"/>
              <w:spacing w:after="0"/>
              <w:rPr>
                <w:sz w:val="20"/>
                <w:szCs w:val="20"/>
                <w:color w:val="auto"/>
              </w:rPr>
            </w:pPr>
            <w:r>
              <w:rPr>
                <w:rFonts w:ascii="Arial" w:cs="Arial" w:eastAsia="Arial" w:hAnsi="Arial"/>
                <w:sz w:val="14"/>
                <w:szCs w:val="14"/>
                <w:color w:val="auto"/>
              </w:rPr>
              <w:t>Efficiency ratio - GAAP</w:t>
            </w: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55.71%</w:t>
            </w:r>
          </w:p>
        </w:tc>
        <w:tc>
          <w:tcPr>
            <w:tcW w:w="5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E5E6E6"/>
          </w:tcPr>
          <w:p>
            <w:pPr>
              <w:ind w:left="520"/>
              <w:spacing w:after="0"/>
              <w:rPr>
                <w:sz w:val="20"/>
                <w:szCs w:val="20"/>
                <w:color w:val="auto"/>
              </w:rPr>
            </w:pPr>
            <w:r>
              <w:rPr>
                <w:rFonts w:ascii="Arial" w:cs="Arial" w:eastAsia="Arial" w:hAnsi="Arial"/>
                <w:sz w:val="14"/>
                <w:szCs w:val="14"/>
                <w:color w:val="auto"/>
              </w:rPr>
              <w:t>Merger-related and other charges</w:t>
            </w:r>
          </w:p>
        </w:tc>
        <w:tc>
          <w:tcPr>
            <w:tcW w:w="1740" w:type="dxa"/>
            <w:vAlign w:val="bottom"/>
            <w:gridSpan w:val="2"/>
            <w:shd w:val="clear" w:color="auto" w:fill="E5E6E6"/>
          </w:tcPr>
          <w:p>
            <w:pPr>
              <w:jc w:val="right"/>
              <w:ind w:right="200"/>
              <w:spacing w:after="0"/>
              <w:rPr>
                <w:sz w:val="20"/>
                <w:szCs w:val="20"/>
                <w:color w:val="auto"/>
              </w:rPr>
            </w:pPr>
            <w:r>
              <w:rPr>
                <w:rFonts w:ascii="Arial" w:cs="Arial" w:eastAsia="Arial" w:hAnsi="Arial"/>
                <w:sz w:val="14"/>
                <w:szCs w:val="14"/>
                <w:color w:val="auto"/>
              </w:rPr>
              <w:t>(1.07)</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660"/>
              <w:spacing w:after="0"/>
              <w:rPr>
                <w:sz w:val="20"/>
                <w:szCs w:val="20"/>
                <w:color w:val="auto"/>
              </w:rPr>
            </w:pPr>
            <w:r>
              <w:rPr>
                <w:rFonts w:ascii="Arial" w:cs="Arial" w:eastAsia="Arial" w:hAnsi="Arial"/>
                <w:sz w:val="14"/>
                <w:szCs w:val="14"/>
                <w:color w:val="auto"/>
              </w:rPr>
              <w:t>Efficiency ratio - operating</w:t>
            </w: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vMerge w:val="continue"/>
          </w:tcPr>
          <w:p>
            <w:pPr>
              <w:spacing w:after="0"/>
              <w:rPr>
                <w:sz w:val="18"/>
                <w:szCs w:val="18"/>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54.56%</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880" w:type="dxa"/>
            <w:vAlign w:val="bottom"/>
            <w:tcBorders>
              <w:top w:val="single" w:sz="8" w:color="E5E6E6"/>
              <w:bottom w:val="single" w:sz="8" w:color="E5E6E6"/>
            </w:tcBorders>
          </w:tcPr>
          <w:p>
            <w:pPr>
              <w:spacing w:after="0"/>
              <w:rPr>
                <w:sz w:val="17"/>
                <w:szCs w:val="17"/>
                <w:color w:val="auto"/>
              </w:rPr>
            </w:pPr>
          </w:p>
        </w:tc>
        <w:tc>
          <w:tcPr>
            <w:tcW w:w="1540" w:type="dxa"/>
            <w:vAlign w:val="bottom"/>
            <w:tcBorders>
              <w:top w:val="single" w:sz="8" w:color="auto"/>
              <w:bottom w:val="single" w:sz="8" w:color="E5E6E6"/>
            </w:tcBorders>
          </w:tcPr>
          <w:p>
            <w:pPr>
              <w:spacing w:after="0"/>
              <w:rPr>
                <w:sz w:val="17"/>
                <w:szCs w:val="17"/>
                <w:color w:val="auto"/>
              </w:rPr>
            </w:pPr>
          </w:p>
        </w:tc>
        <w:tc>
          <w:tcPr>
            <w:tcW w:w="200" w:type="dxa"/>
            <w:vAlign w:val="bottom"/>
            <w:tcBorders>
              <w:top w:val="single" w:sz="8" w:color="E5E6E6"/>
              <w:bottom w:val="single" w:sz="8" w:color="E5E6E6"/>
            </w:tcBorders>
          </w:tcPr>
          <w:p>
            <w:pPr>
              <w:spacing w:after="0"/>
              <w:rPr>
                <w:sz w:val="17"/>
                <w:szCs w:val="17"/>
                <w:color w:val="auto"/>
              </w:rPr>
            </w:pPr>
          </w:p>
        </w:tc>
        <w:tc>
          <w:tcPr>
            <w:tcW w:w="5620" w:type="dxa"/>
            <w:vAlign w:val="bottom"/>
            <w:tcBorders>
              <w:bottom w:val="single" w:sz="8" w:color="E5E6E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Talent and Compensation Committee exercised discretion to adjust the 2020 payout level from 74.20% to 95% based on unusual factors that occurred in 2020, as described under 2020 Executive Compensation Components: Annual Nonequity Incentive Awards. In connection with that exercise of discretion, the Talent and Compensation Committee also changed the performance metrics for the 2021 nonequity incentive awards. The Talent and Compensation Committee determined that it was appropriate to add two new performance objectives for the 2021 awards: pre-tax pre-provision earnings per share and net charge offs as a percentage of total loans. The two new performance objectives are intended to reduce the percentage of the 2021 payout based on earnings per share, which was the most heavily weighted performance measure used in determining nonequity incentive award payouts in 2020. Because of the potential for current expected credit losses methodology (“CECL”) releases in 2021 to increase earnings per share, the new performance metrics reduce the likelihood of a payout percentage in 2021 that is not driven by management’s performance.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23" w:right="319" w:bottom="1440" w:gutter="0" w:footer="0" w:header="0"/>
        </w:sectPr>
      </w:pPr>
    </w:p>
    <w:bookmarkStart w:id="31" w:name="page32"/>
    <w:bookmarkEnd w:id="31"/>
    <w:p>
      <w:pPr>
        <w:ind w:right="160"/>
        <w:spacing w:after="0" w:line="246" w:lineRule="auto"/>
        <w:rPr>
          <w:sz w:val="20"/>
          <w:szCs w:val="20"/>
          <w:color w:val="auto"/>
        </w:rPr>
      </w:pPr>
      <w:r>
        <w:rPr>
          <w:rFonts w:ascii="Arial" w:cs="Arial" w:eastAsia="Arial" w:hAnsi="Arial"/>
          <w:sz w:val="18"/>
          <w:szCs w:val="18"/>
          <w:color w:val="auto"/>
        </w:rPr>
        <w:t>See 2020 Executive Compensation Components: Annual Nonequity Incentive Awards for additional information regarding annual nonequity incentive awards earned by NEOs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Long-Term Equity Incentive Awards Granted in 2020</w:t>
      </w:r>
    </w:p>
    <w:p>
      <w:pPr>
        <w:spacing w:after="0" w:line="198" w:lineRule="exact"/>
        <w:rPr>
          <w:sz w:val="20"/>
          <w:szCs w:val="20"/>
          <w:color w:val="auto"/>
        </w:rPr>
      </w:pPr>
    </w:p>
    <w:p>
      <w:pPr>
        <w:jc w:val="both"/>
        <w:ind w:right="460"/>
        <w:spacing w:after="0" w:line="246" w:lineRule="auto"/>
        <w:rPr>
          <w:sz w:val="20"/>
          <w:szCs w:val="20"/>
          <w:color w:val="auto"/>
        </w:rPr>
      </w:pPr>
      <w:r>
        <w:rPr>
          <w:rFonts w:ascii="Arial" w:cs="Arial" w:eastAsia="Arial" w:hAnsi="Arial"/>
          <w:sz w:val="18"/>
          <w:szCs w:val="18"/>
          <w:color w:val="auto"/>
        </w:rPr>
        <w:t>Our 2020 long-term equity incentive award grants were made in restricted stock units that consisted of at least 60% performance-based restricted stock units (“PRSUs”) and 40% time-based restricted stock units (“TRSUs”)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91440</wp:posOffset>
            </wp:positionV>
            <wp:extent cx="8890" cy="411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91440</wp:posOffset>
            </wp:positionV>
            <wp:extent cx="8890" cy="411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41148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91440</wp:posOffset>
            </wp:positionV>
            <wp:extent cx="8255" cy="411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91440</wp:posOffset>
            </wp:positionV>
            <wp:extent cx="8255" cy="411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91440</wp:posOffset>
            </wp:positionV>
            <wp:extent cx="8890" cy="411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shd w:val="clear" w:color="auto" w:fill="1077A9"/>
          </w:tcPr>
          <w:p>
            <w:pPr>
              <w:spacing w:after="0"/>
              <w:rPr>
                <w:sz w:val="14"/>
                <w:szCs w:val="14"/>
                <w:color w:val="auto"/>
              </w:rPr>
            </w:pPr>
          </w:p>
        </w:tc>
        <w:tc>
          <w:tcPr>
            <w:tcW w:w="2580" w:type="dxa"/>
            <w:vAlign w:val="bottom"/>
            <w:shd w:val="clear" w:color="auto" w:fill="1077A9"/>
          </w:tcPr>
          <w:p>
            <w:pPr>
              <w:spacing w:after="0"/>
              <w:rPr>
                <w:sz w:val="14"/>
                <w:szCs w:val="14"/>
                <w:color w:val="auto"/>
              </w:rPr>
            </w:pPr>
          </w:p>
        </w:tc>
        <w:tc>
          <w:tcPr>
            <w:tcW w:w="152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2020 Annual Equity</w:t>
            </w:r>
          </w:p>
        </w:tc>
        <w:tc>
          <w:tcPr>
            <w:tcW w:w="154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Fair Value of 2020</w:t>
            </w:r>
          </w:p>
        </w:tc>
        <w:tc>
          <w:tcPr>
            <w:tcW w:w="158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2020 Annual Equity</w:t>
            </w:r>
          </w:p>
        </w:tc>
        <w:tc>
          <w:tcPr>
            <w:tcW w:w="146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Fair Value of 2020</w:t>
            </w:r>
          </w:p>
        </w:tc>
        <w:tc>
          <w:tcPr>
            <w:tcW w:w="0" w:type="dxa"/>
            <w:vAlign w:val="bottom"/>
          </w:tcPr>
          <w:p>
            <w:pPr>
              <w:spacing w:after="0"/>
              <w:rPr>
                <w:sz w:val="1"/>
                <w:szCs w:val="1"/>
                <w:color w:val="auto"/>
              </w:rPr>
            </w:pPr>
          </w:p>
        </w:tc>
      </w:tr>
      <w:tr>
        <w:trPr>
          <w:trHeight w:val="81"/>
        </w:trPr>
        <w:tc>
          <w:tcPr>
            <w:tcW w:w="2560" w:type="dxa"/>
            <w:vAlign w:val="bottom"/>
            <w:shd w:val="clear" w:color="auto" w:fill="1077A9"/>
          </w:tcPr>
          <w:p>
            <w:pPr>
              <w:spacing w:after="0"/>
              <w:rPr>
                <w:sz w:val="7"/>
                <w:szCs w:val="7"/>
                <w:color w:val="auto"/>
              </w:rPr>
            </w:pPr>
          </w:p>
        </w:tc>
        <w:tc>
          <w:tcPr>
            <w:tcW w:w="2580" w:type="dxa"/>
            <w:vAlign w:val="bottom"/>
            <w:vMerge w:val="restart"/>
            <w:shd w:val="clear" w:color="auto" w:fill="1077A9"/>
          </w:tcPr>
          <w:p>
            <w:pPr>
              <w:jc w:val="right"/>
              <w:ind w:right="188"/>
              <w:spacing w:after="0"/>
              <w:rPr>
                <w:sz w:val="20"/>
                <w:szCs w:val="20"/>
                <w:color w:val="auto"/>
              </w:rPr>
            </w:pPr>
            <w:r>
              <w:rPr>
                <w:rFonts w:ascii="Arial" w:cs="Arial" w:eastAsia="Arial" w:hAnsi="Arial"/>
                <w:sz w:val="14"/>
                <w:szCs w:val="14"/>
                <w:color w:val="FFFFFF"/>
              </w:rPr>
              <w:t>Target Award as %</w:t>
            </w:r>
          </w:p>
        </w:tc>
        <w:tc>
          <w:tcPr>
            <w:tcW w:w="1520" w:type="dxa"/>
            <w:vAlign w:val="bottom"/>
            <w:vMerge w:val="continue"/>
            <w:shd w:val="clear" w:color="auto" w:fill="1077A9"/>
          </w:tcPr>
          <w:p>
            <w:pPr>
              <w:spacing w:after="0"/>
              <w:rPr>
                <w:sz w:val="7"/>
                <w:szCs w:val="7"/>
                <w:color w:val="auto"/>
              </w:rPr>
            </w:pPr>
          </w:p>
        </w:tc>
        <w:tc>
          <w:tcPr>
            <w:tcW w:w="154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Annual</w:t>
            </w:r>
          </w:p>
        </w:tc>
        <w:tc>
          <w:tcPr>
            <w:tcW w:w="1580" w:type="dxa"/>
            <w:vAlign w:val="bottom"/>
            <w:vMerge w:val="continue"/>
            <w:shd w:val="clear" w:color="auto" w:fill="1077A9"/>
          </w:tcPr>
          <w:p>
            <w:pPr>
              <w:spacing w:after="0"/>
              <w:rPr>
                <w:sz w:val="7"/>
                <w:szCs w:val="7"/>
                <w:color w:val="auto"/>
              </w:rPr>
            </w:pPr>
          </w:p>
        </w:tc>
        <w:tc>
          <w:tcPr>
            <w:tcW w:w="146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Annual Equity</w:t>
            </w:r>
          </w:p>
        </w:tc>
        <w:tc>
          <w:tcPr>
            <w:tcW w:w="0" w:type="dxa"/>
            <w:vAlign w:val="bottom"/>
          </w:tcPr>
          <w:p>
            <w:pPr>
              <w:spacing w:after="0"/>
              <w:rPr>
                <w:sz w:val="1"/>
                <w:szCs w:val="1"/>
                <w:color w:val="auto"/>
              </w:rPr>
            </w:pPr>
          </w:p>
        </w:tc>
      </w:tr>
      <w:tr>
        <w:trPr>
          <w:trHeight w:val="81"/>
        </w:trPr>
        <w:tc>
          <w:tcPr>
            <w:tcW w:w="2560" w:type="dxa"/>
            <w:vAlign w:val="bottom"/>
            <w:vMerge w:val="restart"/>
            <w:shd w:val="clear" w:color="auto" w:fill="1077A9"/>
          </w:tcPr>
          <w:p>
            <w:pPr>
              <w:ind w:left="40"/>
              <w:spacing w:after="0"/>
              <w:rPr>
                <w:sz w:val="20"/>
                <w:szCs w:val="20"/>
                <w:color w:val="auto"/>
              </w:rPr>
            </w:pPr>
            <w:r>
              <w:rPr>
                <w:rFonts w:ascii="Arial" w:cs="Arial" w:eastAsia="Arial" w:hAnsi="Arial"/>
                <w:sz w:val="14"/>
                <w:szCs w:val="14"/>
                <w:color w:val="FFFFFF"/>
              </w:rPr>
              <w:t>Name</w:t>
            </w:r>
          </w:p>
        </w:tc>
        <w:tc>
          <w:tcPr>
            <w:tcW w:w="2580" w:type="dxa"/>
            <w:vAlign w:val="bottom"/>
            <w:vMerge w:val="continue"/>
            <w:shd w:val="clear" w:color="auto" w:fill="1077A9"/>
          </w:tcPr>
          <w:p>
            <w:pPr>
              <w:spacing w:after="0"/>
              <w:rPr>
                <w:sz w:val="7"/>
                <w:szCs w:val="7"/>
                <w:color w:val="auto"/>
              </w:rPr>
            </w:pPr>
          </w:p>
        </w:tc>
        <w:tc>
          <w:tcPr>
            <w:tcW w:w="152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Incentive Award</w:t>
            </w:r>
          </w:p>
        </w:tc>
        <w:tc>
          <w:tcPr>
            <w:tcW w:w="1540" w:type="dxa"/>
            <w:vAlign w:val="bottom"/>
            <w:vMerge w:val="continue"/>
            <w:shd w:val="clear" w:color="auto" w:fill="1077A9"/>
          </w:tcPr>
          <w:p>
            <w:pPr>
              <w:spacing w:after="0"/>
              <w:rPr>
                <w:sz w:val="7"/>
                <w:szCs w:val="7"/>
                <w:color w:val="auto"/>
              </w:rPr>
            </w:pPr>
          </w:p>
        </w:tc>
        <w:tc>
          <w:tcPr>
            <w:tcW w:w="158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Incentive Award</w:t>
            </w:r>
          </w:p>
        </w:tc>
        <w:tc>
          <w:tcPr>
            <w:tcW w:w="146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60" w:type="dxa"/>
            <w:vAlign w:val="bottom"/>
            <w:vMerge w:val="continue"/>
            <w:shd w:val="clear" w:color="auto" w:fill="1077A9"/>
          </w:tcPr>
          <w:p>
            <w:pPr>
              <w:spacing w:after="0"/>
              <w:rPr>
                <w:sz w:val="7"/>
                <w:szCs w:val="7"/>
                <w:color w:val="auto"/>
              </w:rPr>
            </w:pPr>
          </w:p>
        </w:tc>
        <w:tc>
          <w:tcPr>
            <w:tcW w:w="2580" w:type="dxa"/>
            <w:vAlign w:val="bottom"/>
            <w:vMerge w:val="restart"/>
            <w:shd w:val="clear" w:color="auto" w:fill="1077A9"/>
          </w:tcPr>
          <w:p>
            <w:pPr>
              <w:jc w:val="right"/>
              <w:ind w:right="308"/>
              <w:spacing w:after="0"/>
              <w:rPr>
                <w:sz w:val="20"/>
                <w:szCs w:val="20"/>
                <w:color w:val="auto"/>
              </w:rPr>
            </w:pPr>
            <w:r>
              <w:rPr>
                <w:rFonts w:ascii="Arial" w:cs="Arial" w:eastAsia="Arial" w:hAnsi="Arial"/>
                <w:sz w:val="14"/>
                <w:szCs w:val="14"/>
                <w:color w:val="FFFFFF"/>
              </w:rPr>
              <w:t>of Base Salary</w:t>
            </w:r>
          </w:p>
        </w:tc>
        <w:tc>
          <w:tcPr>
            <w:tcW w:w="1520" w:type="dxa"/>
            <w:vAlign w:val="bottom"/>
            <w:vMerge w:val="continue"/>
            <w:shd w:val="clear" w:color="auto" w:fill="1077A9"/>
          </w:tcPr>
          <w:p>
            <w:pPr>
              <w:spacing w:after="0"/>
              <w:rPr>
                <w:sz w:val="7"/>
                <w:szCs w:val="7"/>
                <w:color w:val="auto"/>
              </w:rPr>
            </w:pPr>
          </w:p>
        </w:tc>
        <w:tc>
          <w:tcPr>
            <w:tcW w:w="154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Equity Incentive</w:t>
            </w:r>
          </w:p>
        </w:tc>
        <w:tc>
          <w:tcPr>
            <w:tcW w:w="1580" w:type="dxa"/>
            <w:vAlign w:val="bottom"/>
            <w:vMerge w:val="continue"/>
            <w:shd w:val="clear" w:color="auto" w:fill="1077A9"/>
          </w:tcPr>
          <w:p>
            <w:pPr>
              <w:spacing w:after="0"/>
              <w:rPr>
                <w:sz w:val="7"/>
                <w:szCs w:val="7"/>
                <w:color w:val="auto"/>
              </w:rPr>
            </w:pPr>
          </w:p>
        </w:tc>
        <w:tc>
          <w:tcPr>
            <w:tcW w:w="146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Incentive Award</w:t>
            </w:r>
          </w:p>
        </w:tc>
        <w:tc>
          <w:tcPr>
            <w:tcW w:w="0" w:type="dxa"/>
            <w:vAlign w:val="bottom"/>
          </w:tcPr>
          <w:p>
            <w:pPr>
              <w:spacing w:after="0"/>
              <w:rPr>
                <w:sz w:val="1"/>
                <w:szCs w:val="1"/>
                <w:color w:val="auto"/>
              </w:rPr>
            </w:pPr>
          </w:p>
        </w:tc>
      </w:tr>
      <w:tr>
        <w:trPr>
          <w:trHeight w:val="81"/>
        </w:trPr>
        <w:tc>
          <w:tcPr>
            <w:tcW w:w="2560" w:type="dxa"/>
            <w:vAlign w:val="bottom"/>
            <w:shd w:val="clear" w:color="auto" w:fill="1077A9"/>
          </w:tcPr>
          <w:p>
            <w:pPr>
              <w:spacing w:after="0"/>
              <w:rPr>
                <w:sz w:val="7"/>
                <w:szCs w:val="7"/>
                <w:color w:val="auto"/>
              </w:rPr>
            </w:pPr>
          </w:p>
        </w:tc>
        <w:tc>
          <w:tcPr>
            <w:tcW w:w="2580" w:type="dxa"/>
            <w:vAlign w:val="bottom"/>
            <w:vMerge w:val="continue"/>
            <w:shd w:val="clear" w:color="auto" w:fill="1077A9"/>
          </w:tcPr>
          <w:p>
            <w:pPr>
              <w:spacing w:after="0"/>
              <w:rPr>
                <w:sz w:val="7"/>
                <w:szCs w:val="7"/>
                <w:color w:val="auto"/>
              </w:rPr>
            </w:pPr>
          </w:p>
        </w:tc>
        <w:tc>
          <w:tcPr>
            <w:tcW w:w="152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(PRSUs) (#)</w:t>
            </w:r>
          </w:p>
        </w:tc>
        <w:tc>
          <w:tcPr>
            <w:tcW w:w="1540" w:type="dxa"/>
            <w:vAlign w:val="bottom"/>
            <w:vMerge w:val="continue"/>
            <w:shd w:val="clear" w:color="auto" w:fill="1077A9"/>
          </w:tcPr>
          <w:p>
            <w:pPr>
              <w:spacing w:after="0"/>
              <w:rPr>
                <w:sz w:val="7"/>
                <w:szCs w:val="7"/>
                <w:color w:val="auto"/>
              </w:rPr>
            </w:pPr>
          </w:p>
        </w:tc>
        <w:tc>
          <w:tcPr>
            <w:tcW w:w="158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(TRSUs) (#)</w:t>
            </w:r>
          </w:p>
        </w:tc>
        <w:tc>
          <w:tcPr>
            <w:tcW w:w="146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560" w:type="dxa"/>
            <w:vAlign w:val="bottom"/>
            <w:shd w:val="clear" w:color="auto" w:fill="1077A9"/>
          </w:tcPr>
          <w:p>
            <w:pPr>
              <w:spacing w:after="0"/>
              <w:rPr>
                <w:sz w:val="7"/>
                <w:szCs w:val="7"/>
                <w:color w:val="auto"/>
              </w:rPr>
            </w:pPr>
          </w:p>
        </w:tc>
        <w:tc>
          <w:tcPr>
            <w:tcW w:w="2580" w:type="dxa"/>
            <w:vAlign w:val="bottom"/>
            <w:shd w:val="clear" w:color="auto" w:fill="1077A9"/>
          </w:tcPr>
          <w:p>
            <w:pPr>
              <w:spacing w:after="0"/>
              <w:rPr>
                <w:sz w:val="7"/>
                <w:szCs w:val="7"/>
                <w:color w:val="auto"/>
              </w:rPr>
            </w:pPr>
          </w:p>
        </w:tc>
        <w:tc>
          <w:tcPr>
            <w:tcW w:w="1520" w:type="dxa"/>
            <w:vAlign w:val="bottom"/>
            <w:vMerge w:val="continue"/>
            <w:shd w:val="clear" w:color="auto" w:fill="1077A9"/>
          </w:tcPr>
          <w:p>
            <w:pPr>
              <w:spacing w:after="0"/>
              <w:rPr>
                <w:sz w:val="7"/>
                <w:szCs w:val="7"/>
                <w:color w:val="auto"/>
              </w:rPr>
            </w:pPr>
          </w:p>
        </w:tc>
        <w:tc>
          <w:tcPr>
            <w:tcW w:w="1540" w:type="dxa"/>
            <w:vAlign w:val="bottom"/>
            <w:vMerge w:val="restart"/>
            <w:shd w:val="clear" w:color="auto" w:fill="1077A9"/>
          </w:tcPr>
          <w:p>
            <w:pPr>
              <w:jc w:val="center"/>
              <w:spacing w:after="0" w:line="157" w:lineRule="exact"/>
              <w:rPr>
                <w:sz w:val="20"/>
                <w:szCs w:val="20"/>
                <w:color w:val="auto"/>
              </w:rPr>
            </w:pPr>
            <w:r>
              <w:rPr>
                <w:rFonts w:ascii="Arial" w:cs="Arial" w:eastAsia="Arial" w:hAnsi="Arial"/>
                <w:sz w:val="14"/>
                <w:szCs w:val="14"/>
                <w:color w:val="FFFFFF"/>
              </w:rPr>
              <w:t>Award (PRSUs) ($)</w:t>
            </w:r>
          </w:p>
        </w:tc>
        <w:tc>
          <w:tcPr>
            <w:tcW w:w="1580" w:type="dxa"/>
            <w:vAlign w:val="bottom"/>
            <w:vMerge w:val="continue"/>
            <w:shd w:val="clear" w:color="auto" w:fill="1077A9"/>
          </w:tcPr>
          <w:p>
            <w:pPr>
              <w:spacing w:after="0"/>
              <w:rPr>
                <w:sz w:val="7"/>
                <w:szCs w:val="7"/>
                <w:color w:val="auto"/>
              </w:rPr>
            </w:pPr>
          </w:p>
        </w:tc>
        <w:tc>
          <w:tcPr>
            <w:tcW w:w="1460" w:type="dxa"/>
            <w:vAlign w:val="bottom"/>
            <w:vMerge w:val="restart"/>
            <w:shd w:val="clear" w:color="auto" w:fill="1077A9"/>
          </w:tcPr>
          <w:p>
            <w:pPr>
              <w:jc w:val="center"/>
              <w:spacing w:after="0" w:line="157" w:lineRule="exact"/>
              <w:rPr>
                <w:sz w:val="20"/>
                <w:szCs w:val="20"/>
                <w:color w:val="auto"/>
              </w:rPr>
            </w:pPr>
            <w:r>
              <w:rPr>
                <w:rFonts w:ascii="Arial" w:cs="Arial" w:eastAsia="Arial" w:hAnsi="Arial"/>
                <w:sz w:val="14"/>
                <w:szCs w:val="14"/>
                <w:color w:val="FFFFFF"/>
              </w:rPr>
              <w:t>(TRSUs) ($)</w:t>
            </w:r>
          </w:p>
        </w:tc>
        <w:tc>
          <w:tcPr>
            <w:tcW w:w="0" w:type="dxa"/>
            <w:vAlign w:val="bottom"/>
          </w:tcPr>
          <w:p>
            <w:pPr>
              <w:spacing w:after="0"/>
              <w:rPr>
                <w:sz w:val="1"/>
                <w:szCs w:val="1"/>
                <w:color w:val="auto"/>
              </w:rPr>
            </w:pPr>
          </w:p>
        </w:tc>
      </w:tr>
      <w:tr>
        <w:trPr>
          <w:trHeight w:val="66"/>
        </w:trPr>
        <w:tc>
          <w:tcPr>
            <w:tcW w:w="2560" w:type="dxa"/>
            <w:vAlign w:val="bottom"/>
            <w:shd w:val="clear" w:color="auto" w:fill="1077A9"/>
          </w:tcPr>
          <w:p>
            <w:pPr>
              <w:spacing w:after="0"/>
              <w:rPr>
                <w:sz w:val="5"/>
                <w:szCs w:val="5"/>
                <w:color w:val="auto"/>
              </w:rPr>
            </w:pPr>
          </w:p>
        </w:tc>
        <w:tc>
          <w:tcPr>
            <w:tcW w:w="2580" w:type="dxa"/>
            <w:vAlign w:val="bottom"/>
            <w:shd w:val="clear" w:color="auto" w:fill="1077A9"/>
          </w:tcPr>
          <w:p>
            <w:pPr>
              <w:spacing w:after="0"/>
              <w:rPr>
                <w:sz w:val="5"/>
                <w:szCs w:val="5"/>
                <w:color w:val="auto"/>
              </w:rPr>
            </w:pPr>
          </w:p>
        </w:tc>
        <w:tc>
          <w:tcPr>
            <w:tcW w:w="1520" w:type="dxa"/>
            <w:vAlign w:val="bottom"/>
            <w:shd w:val="clear" w:color="auto" w:fill="1077A9"/>
          </w:tcPr>
          <w:p>
            <w:pPr>
              <w:spacing w:after="0"/>
              <w:rPr>
                <w:sz w:val="5"/>
                <w:szCs w:val="5"/>
                <w:color w:val="auto"/>
              </w:rPr>
            </w:pPr>
          </w:p>
        </w:tc>
        <w:tc>
          <w:tcPr>
            <w:tcW w:w="1540" w:type="dxa"/>
            <w:vAlign w:val="bottom"/>
            <w:vMerge w:val="continue"/>
            <w:shd w:val="clear" w:color="auto" w:fill="1077A9"/>
          </w:tcPr>
          <w:p>
            <w:pPr>
              <w:spacing w:after="0"/>
              <w:rPr>
                <w:sz w:val="5"/>
                <w:szCs w:val="5"/>
                <w:color w:val="auto"/>
              </w:rPr>
            </w:pPr>
          </w:p>
        </w:tc>
        <w:tc>
          <w:tcPr>
            <w:tcW w:w="1580" w:type="dxa"/>
            <w:vAlign w:val="bottom"/>
            <w:shd w:val="clear" w:color="auto" w:fill="1077A9"/>
          </w:tcPr>
          <w:p>
            <w:pPr>
              <w:spacing w:after="0"/>
              <w:rPr>
                <w:sz w:val="5"/>
                <w:szCs w:val="5"/>
                <w:color w:val="auto"/>
              </w:rPr>
            </w:pPr>
          </w:p>
        </w:tc>
        <w:tc>
          <w:tcPr>
            <w:tcW w:w="1460" w:type="dxa"/>
            <w:vAlign w:val="bottom"/>
            <w:vMerge w:val="continue"/>
            <w:shd w:val="clear" w:color="auto" w:fill="1077A9"/>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rPr>
                <w:sz w:val="20"/>
                <w:szCs w:val="20"/>
                <w:color w:val="auto"/>
              </w:rPr>
            </w:pPr>
            <w:r>
              <w:rPr>
                <w:rFonts w:ascii="Arial" w:cs="Arial" w:eastAsia="Arial" w:hAnsi="Arial"/>
                <w:sz w:val="14"/>
                <w:szCs w:val="14"/>
                <w:color w:val="auto"/>
              </w:rPr>
              <w:t>H. Lynn Harton</w:t>
            </w:r>
          </w:p>
        </w:tc>
        <w:tc>
          <w:tcPr>
            <w:tcW w:w="2580" w:type="dxa"/>
            <w:vAlign w:val="bottom"/>
          </w:tcPr>
          <w:p>
            <w:pPr>
              <w:jc w:val="right"/>
              <w:ind w:right="48"/>
              <w:spacing w:after="0"/>
              <w:rPr>
                <w:sz w:val="20"/>
                <w:szCs w:val="20"/>
                <w:color w:val="auto"/>
              </w:rPr>
            </w:pPr>
            <w:r>
              <w:rPr>
                <w:rFonts w:ascii="Arial" w:cs="Arial" w:eastAsia="Arial" w:hAnsi="Arial"/>
                <w:sz w:val="14"/>
                <w:szCs w:val="14"/>
                <w:color w:val="auto"/>
              </w:rPr>
              <w:t>115.0 %</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29,940</w:t>
            </w: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$542,812</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17,509</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$348,774</w:t>
            </w:r>
          </w:p>
        </w:tc>
        <w:tc>
          <w:tcPr>
            <w:tcW w:w="0" w:type="dxa"/>
            <w:vAlign w:val="bottom"/>
          </w:tcPr>
          <w:p>
            <w:pPr>
              <w:spacing w:after="0"/>
              <w:rPr>
                <w:sz w:val="1"/>
                <w:szCs w:val="1"/>
                <w:color w:val="auto"/>
              </w:rPr>
            </w:pPr>
          </w:p>
        </w:tc>
      </w:tr>
      <w:tr>
        <w:trPr>
          <w:trHeight w:val="162"/>
        </w:trPr>
        <w:tc>
          <w:tcPr>
            <w:tcW w:w="2560" w:type="dxa"/>
            <w:vAlign w:val="bottom"/>
            <w:shd w:val="clear" w:color="auto" w:fill="E5E6E6"/>
          </w:tcPr>
          <w:p>
            <w:pPr>
              <w:ind w:left="40"/>
              <w:spacing w:after="0"/>
              <w:rPr>
                <w:sz w:val="20"/>
                <w:szCs w:val="20"/>
                <w:color w:val="auto"/>
              </w:rPr>
            </w:pPr>
            <w:r>
              <w:rPr>
                <w:rFonts w:ascii="Arial" w:cs="Arial" w:eastAsia="Arial" w:hAnsi="Arial"/>
                <w:sz w:val="14"/>
                <w:szCs w:val="14"/>
                <w:color w:val="auto"/>
              </w:rPr>
              <w:t>Jefferson L. Harralson</w:t>
            </w:r>
          </w:p>
        </w:tc>
        <w:tc>
          <w:tcPr>
            <w:tcW w:w="2580" w:type="dxa"/>
            <w:vAlign w:val="bottom"/>
            <w:shd w:val="clear" w:color="auto" w:fill="E5E6E6"/>
          </w:tcPr>
          <w:p>
            <w:pPr>
              <w:jc w:val="right"/>
              <w:ind w:right="208"/>
              <w:spacing w:after="0"/>
              <w:rPr>
                <w:sz w:val="20"/>
                <w:szCs w:val="20"/>
                <w:color w:val="auto"/>
              </w:rPr>
            </w:pPr>
            <w:r>
              <w:rPr>
                <w:rFonts w:ascii="Arial" w:cs="Arial" w:eastAsia="Arial" w:hAnsi="Arial"/>
                <w:sz w:val="14"/>
                <w:szCs w:val="14"/>
                <w:color w:val="auto"/>
              </w:rPr>
              <w:t>70.0</w:t>
            </w:r>
          </w:p>
        </w:tc>
        <w:tc>
          <w:tcPr>
            <w:tcW w:w="1520" w:type="dxa"/>
            <w:vAlign w:val="bottom"/>
            <w:shd w:val="clear" w:color="auto" w:fill="E5E6E6"/>
          </w:tcPr>
          <w:p>
            <w:pPr>
              <w:jc w:val="right"/>
              <w:ind w:right="108"/>
              <w:spacing w:after="0"/>
              <w:rPr>
                <w:sz w:val="20"/>
                <w:szCs w:val="20"/>
                <w:color w:val="auto"/>
              </w:rPr>
            </w:pPr>
            <w:r>
              <w:rPr>
                <w:rFonts w:ascii="Arial" w:cs="Arial" w:eastAsia="Arial" w:hAnsi="Arial"/>
                <w:sz w:val="14"/>
                <w:szCs w:val="14"/>
                <w:color w:val="auto"/>
              </w:rPr>
              <w:t>11,358</w:t>
            </w:r>
          </w:p>
        </w:tc>
        <w:tc>
          <w:tcPr>
            <w:tcW w:w="1540" w:type="dxa"/>
            <w:vAlign w:val="bottom"/>
            <w:shd w:val="clear" w:color="auto" w:fill="E5E6E6"/>
          </w:tcPr>
          <w:p>
            <w:pPr>
              <w:jc w:val="right"/>
              <w:ind w:right="108"/>
              <w:spacing w:after="0"/>
              <w:rPr>
                <w:sz w:val="20"/>
                <w:szCs w:val="20"/>
                <w:color w:val="auto"/>
              </w:rPr>
            </w:pPr>
            <w:r>
              <w:rPr>
                <w:rFonts w:ascii="Arial" w:cs="Arial" w:eastAsia="Arial" w:hAnsi="Arial"/>
                <w:sz w:val="14"/>
                <w:szCs w:val="14"/>
                <w:color w:val="auto"/>
              </w:rPr>
              <w:t>205,921</w:t>
            </w:r>
          </w:p>
        </w:tc>
        <w:tc>
          <w:tcPr>
            <w:tcW w:w="1580" w:type="dxa"/>
            <w:vAlign w:val="bottom"/>
            <w:shd w:val="clear" w:color="auto" w:fill="E5E6E6"/>
          </w:tcPr>
          <w:p>
            <w:pPr>
              <w:jc w:val="right"/>
              <w:ind w:right="128"/>
              <w:spacing w:after="0"/>
              <w:rPr>
                <w:sz w:val="20"/>
                <w:szCs w:val="20"/>
                <w:color w:val="auto"/>
              </w:rPr>
            </w:pPr>
            <w:r>
              <w:rPr>
                <w:rFonts w:ascii="Arial" w:cs="Arial" w:eastAsia="Arial" w:hAnsi="Arial"/>
                <w:sz w:val="14"/>
                <w:szCs w:val="14"/>
                <w:color w:val="auto"/>
              </w:rPr>
              <w:t>4,865</w:t>
            </w:r>
          </w:p>
        </w:tc>
        <w:tc>
          <w:tcPr>
            <w:tcW w:w="1460" w:type="dxa"/>
            <w:vAlign w:val="bottom"/>
            <w:shd w:val="clear" w:color="auto" w:fill="E5E6E6"/>
          </w:tcPr>
          <w:p>
            <w:pPr>
              <w:jc w:val="right"/>
              <w:ind w:right="28"/>
              <w:spacing w:after="0"/>
              <w:rPr>
                <w:sz w:val="20"/>
                <w:szCs w:val="20"/>
                <w:color w:val="auto"/>
              </w:rPr>
            </w:pPr>
            <w:r>
              <w:rPr>
                <w:rFonts w:ascii="Arial" w:cs="Arial" w:eastAsia="Arial" w:hAnsi="Arial"/>
                <w:sz w:val="14"/>
                <w:szCs w:val="14"/>
                <w:color w:val="auto"/>
              </w:rPr>
              <w:t>88,202</w:t>
            </w:r>
          </w:p>
        </w:tc>
        <w:tc>
          <w:tcPr>
            <w:tcW w:w="0" w:type="dxa"/>
            <w:vAlign w:val="bottom"/>
          </w:tcPr>
          <w:p>
            <w:pPr>
              <w:spacing w:after="0"/>
              <w:rPr>
                <w:sz w:val="1"/>
                <w:szCs w:val="1"/>
                <w:color w:val="auto"/>
              </w:rPr>
            </w:pPr>
          </w:p>
        </w:tc>
      </w:tr>
      <w:tr>
        <w:trPr>
          <w:trHeight w:val="162"/>
        </w:trPr>
        <w:tc>
          <w:tcPr>
            <w:tcW w:w="2560" w:type="dxa"/>
            <w:vAlign w:val="bottom"/>
          </w:tcPr>
          <w:p>
            <w:pPr>
              <w:ind w:left="40"/>
              <w:spacing w:after="0"/>
              <w:rPr>
                <w:sz w:val="20"/>
                <w:szCs w:val="20"/>
                <w:color w:val="auto"/>
              </w:rPr>
            </w:pPr>
            <w:r>
              <w:rPr>
                <w:rFonts w:ascii="Arial" w:cs="Arial" w:eastAsia="Arial" w:hAnsi="Arial"/>
                <w:sz w:val="14"/>
                <w:szCs w:val="14"/>
                <w:color w:val="auto"/>
              </w:rPr>
              <w:t>Richard W. Bradshaw</w:t>
            </w:r>
          </w:p>
        </w:tc>
        <w:tc>
          <w:tcPr>
            <w:tcW w:w="2580" w:type="dxa"/>
            <w:vAlign w:val="bottom"/>
          </w:tcPr>
          <w:p>
            <w:pPr>
              <w:jc w:val="right"/>
              <w:ind w:right="208"/>
              <w:spacing w:after="0"/>
              <w:rPr>
                <w:sz w:val="20"/>
                <w:szCs w:val="20"/>
                <w:color w:val="auto"/>
              </w:rPr>
            </w:pPr>
            <w:r>
              <w:rPr>
                <w:rFonts w:ascii="Arial" w:cs="Arial" w:eastAsia="Arial" w:hAnsi="Arial"/>
                <w:sz w:val="14"/>
                <w:szCs w:val="14"/>
                <w:color w:val="auto"/>
              </w:rPr>
              <w:t>70.0</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8,924</w:t>
            </w: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161,792</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5,375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107,832</w:t>
            </w:r>
          </w:p>
        </w:tc>
        <w:tc>
          <w:tcPr>
            <w:tcW w:w="0" w:type="dxa"/>
            <w:vAlign w:val="bottom"/>
          </w:tcPr>
          <w:p>
            <w:pPr>
              <w:spacing w:after="0"/>
              <w:rPr>
                <w:sz w:val="1"/>
                <w:szCs w:val="1"/>
                <w:color w:val="auto"/>
              </w:rPr>
            </w:pPr>
          </w:p>
        </w:tc>
      </w:tr>
      <w:tr>
        <w:trPr>
          <w:trHeight w:val="162"/>
        </w:trPr>
        <w:tc>
          <w:tcPr>
            <w:tcW w:w="2560" w:type="dxa"/>
            <w:vAlign w:val="bottom"/>
            <w:shd w:val="clear" w:color="auto" w:fill="E5E6E6"/>
          </w:tcPr>
          <w:p>
            <w:pPr>
              <w:ind w:left="40"/>
              <w:spacing w:after="0"/>
              <w:rPr>
                <w:sz w:val="20"/>
                <w:szCs w:val="20"/>
                <w:color w:val="auto"/>
              </w:rPr>
            </w:pPr>
            <w:r>
              <w:rPr>
                <w:rFonts w:ascii="Arial" w:cs="Arial" w:eastAsia="Arial" w:hAnsi="Arial"/>
                <w:sz w:val="14"/>
                <w:szCs w:val="14"/>
                <w:color w:val="auto"/>
              </w:rPr>
              <w:t>Robert A. Edwards</w:t>
            </w:r>
          </w:p>
        </w:tc>
        <w:tc>
          <w:tcPr>
            <w:tcW w:w="2580" w:type="dxa"/>
            <w:vAlign w:val="bottom"/>
            <w:shd w:val="clear" w:color="auto" w:fill="E5E6E6"/>
          </w:tcPr>
          <w:p>
            <w:pPr>
              <w:jc w:val="right"/>
              <w:ind w:right="208"/>
              <w:spacing w:after="0"/>
              <w:rPr>
                <w:sz w:val="20"/>
                <w:szCs w:val="20"/>
                <w:color w:val="auto"/>
              </w:rPr>
            </w:pPr>
            <w:r>
              <w:rPr>
                <w:rFonts w:ascii="Arial" w:cs="Arial" w:eastAsia="Arial" w:hAnsi="Arial"/>
                <w:sz w:val="14"/>
                <w:szCs w:val="14"/>
                <w:color w:val="auto"/>
              </w:rPr>
              <w:t>70.0</w:t>
            </w:r>
          </w:p>
        </w:tc>
        <w:tc>
          <w:tcPr>
            <w:tcW w:w="1520" w:type="dxa"/>
            <w:vAlign w:val="bottom"/>
            <w:shd w:val="clear" w:color="auto" w:fill="E5E6E6"/>
          </w:tcPr>
          <w:p>
            <w:pPr>
              <w:jc w:val="right"/>
              <w:ind w:right="108"/>
              <w:spacing w:after="0"/>
              <w:rPr>
                <w:sz w:val="20"/>
                <w:szCs w:val="20"/>
                <w:color w:val="auto"/>
              </w:rPr>
            </w:pPr>
            <w:r>
              <w:rPr>
                <w:rFonts w:ascii="Arial" w:cs="Arial" w:eastAsia="Arial" w:hAnsi="Arial"/>
                <w:sz w:val="14"/>
                <w:szCs w:val="14"/>
                <w:color w:val="auto"/>
              </w:rPr>
              <w:t>8,924</w:t>
            </w:r>
          </w:p>
        </w:tc>
        <w:tc>
          <w:tcPr>
            <w:tcW w:w="1540" w:type="dxa"/>
            <w:vAlign w:val="bottom"/>
            <w:shd w:val="clear" w:color="auto" w:fill="E5E6E6"/>
          </w:tcPr>
          <w:p>
            <w:pPr>
              <w:jc w:val="right"/>
              <w:ind w:right="108"/>
              <w:spacing w:after="0"/>
              <w:rPr>
                <w:sz w:val="20"/>
                <w:szCs w:val="20"/>
                <w:color w:val="auto"/>
              </w:rPr>
            </w:pPr>
            <w:r>
              <w:rPr>
                <w:rFonts w:ascii="Arial" w:cs="Arial" w:eastAsia="Arial" w:hAnsi="Arial"/>
                <w:sz w:val="14"/>
                <w:szCs w:val="14"/>
                <w:color w:val="auto"/>
              </w:rPr>
              <w:t>161,792</w:t>
            </w:r>
          </w:p>
        </w:tc>
        <w:tc>
          <w:tcPr>
            <w:tcW w:w="1580" w:type="dxa"/>
            <w:vAlign w:val="bottom"/>
            <w:shd w:val="clear" w:color="auto" w:fill="E5E6E6"/>
          </w:tcPr>
          <w:p>
            <w:pPr>
              <w:jc w:val="right"/>
              <w:ind w:right="128"/>
              <w:spacing w:after="0"/>
              <w:rPr>
                <w:sz w:val="20"/>
                <w:szCs w:val="20"/>
                <w:color w:val="auto"/>
              </w:rPr>
            </w:pPr>
            <w:r>
              <w:rPr>
                <w:rFonts w:ascii="Arial" w:cs="Arial" w:eastAsia="Arial" w:hAnsi="Arial"/>
                <w:sz w:val="14"/>
                <w:szCs w:val="14"/>
                <w:color w:val="auto"/>
              </w:rPr>
              <w:t>5,375</w:t>
            </w:r>
          </w:p>
        </w:tc>
        <w:tc>
          <w:tcPr>
            <w:tcW w:w="1460" w:type="dxa"/>
            <w:vAlign w:val="bottom"/>
            <w:shd w:val="clear" w:color="auto" w:fill="E5E6E6"/>
          </w:tcPr>
          <w:p>
            <w:pPr>
              <w:jc w:val="right"/>
              <w:ind w:right="28"/>
              <w:spacing w:after="0"/>
              <w:rPr>
                <w:sz w:val="20"/>
                <w:szCs w:val="20"/>
                <w:color w:val="auto"/>
              </w:rPr>
            </w:pPr>
            <w:r>
              <w:rPr>
                <w:rFonts w:ascii="Arial" w:cs="Arial" w:eastAsia="Arial" w:hAnsi="Arial"/>
                <w:sz w:val="14"/>
                <w:szCs w:val="14"/>
                <w:color w:val="auto"/>
              </w:rPr>
              <w:t>107,832</w:t>
            </w:r>
          </w:p>
        </w:tc>
        <w:tc>
          <w:tcPr>
            <w:tcW w:w="0" w:type="dxa"/>
            <w:vAlign w:val="bottom"/>
          </w:tcPr>
          <w:p>
            <w:pPr>
              <w:spacing w:after="0"/>
              <w:rPr>
                <w:sz w:val="1"/>
                <w:szCs w:val="1"/>
                <w:color w:val="auto"/>
              </w:rPr>
            </w:pPr>
          </w:p>
        </w:tc>
      </w:tr>
      <w:tr>
        <w:trPr>
          <w:trHeight w:val="175"/>
        </w:trPr>
        <w:tc>
          <w:tcPr>
            <w:tcW w:w="2560" w:type="dxa"/>
            <w:vAlign w:val="bottom"/>
            <w:tcBorders>
              <w:bottom w:val="single" w:sz="8" w:color="E5E6E6"/>
            </w:tcBorders>
          </w:tcPr>
          <w:p>
            <w:pPr>
              <w:ind w:left="40"/>
              <w:spacing w:after="0"/>
              <w:rPr>
                <w:sz w:val="20"/>
                <w:szCs w:val="20"/>
                <w:color w:val="auto"/>
              </w:rPr>
            </w:pPr>
            <w:r>
              <w:rPr>
                <w:rFonts w:ascii="Arial" w:cs="Arial" w:eastAsia="Arial" w:hAnsi="Arial"/>
                <w:sz w:val="14"/>
                <w:szCs w:val="14"/>
                <w:color w:val="auto"/>
              </w:rPr>
              <w:t>Melinda Davis Lux</w:t>
            </w:r>
          </w:p>
        </w:tc>
        <w:tc>
          <w:tcPr>
            <w:tcW w:w="2580" w:type="dxa"/>
            <w:vAlign w:val="bottom"/>
            <w:tcBorders>
              <w:bottom w:val="single" w:sz="8" w:color="E5E6E6"/>
            </w:tcBorders>
          </w:tcPr>
          <w:p>
            <w:pPr>
              <w:jc w:val="right"/>
              <w:ind w:right="208"/>
              <w:spacing w:after="0"/>
              <w:rPr>
                <w:sz w:val="20"/>
                <w:szCs w:val="20"/>
                <w:color w:val="auto"/>
              </w:rPr>
            </w:pPr>
            <w:r>
              <w:rPr>
                <w:rFonts w:ascii="Arial" w:cs="Arial" w:eastAsia="Arial" w:hAnsi="Arial"/>
                <w:sz w:val="14"/>
                <w:szCs w:val="14"/>
                <w:color w:val="auto"/>
              </w:rPr>
              <w:t>60.0</w:t>
            </w:r>
          </w:p>
        </w:tc>
        <w:tc>
          <w:tcPr>
            <w:tcW w:w="1520" w:type="dxa"/>
            <w:vAlign w:val="bottom"/>
            <w:tcBorders>
              <w:bottom w:val="single" w:sz="8" w:color="E5E6E6"/>
            </w:tcBorders>
          </w:tcPr>
          <w:p>
            <w:pPr>
              <w:jc w:val="right"/>
              <w:ind w:right="108"/>
              <w:spacing w:after="0"/>
              <w:rPr>
                <w:sz w:val="20"/>
                <w:szCs w:val="20"/>
                <w:color w:val="auto"/>
              </w:rPr>
            </w:pPr>
            <w:r>
              <w:rPr>
                <w:rFonts w:ascii="Arial" w:cs="Arial" w:eastAsia="Arial" w:hAnsi="Arial"/>
                <w:sz w:val="14"/>
                <w:szCs w:val="14"/>
                <w:color w:val="auto"/>
              </w:rPr>
              <w:t>7,534</w:t>
            </w:r>
          </w:p>
        </w:tc>
        <w:tc>
          <w:tcPr>
            <w:tcW w:w="1540" w:type="dxa"/>
            <w:vAlign w:val="bottom"/>
            <w:tcBorders>
              <w:bottom w:val="single" w:sz="8" w:color="E5E6E6"/>
            </w:tcBorders>
          </w:tcPr>
          <w:p>
            <w:pPr>
              <w:jc w:val="right"/>
              <w:ind w:right="108"/>
              <w:spacing w:after="0"/>
              <w:rPr>
                <w:sz w:val="20"/>
                <w:szCs w:val="20"/>
                <w:color w:val="auto"/>
              </w:rPr>
            </w:pPr>
            <w:r>
              <w:rPr>
                <w:rFonts w:ascii="Arial" w:cs="Arial" w:eastAsia="Arial" w:hAnsi="Arial"/>
                <w:sz w:val="14"/>
                <w:szCs w:val="14"/>
                <w:color w:val="auto"/>
              </w:rPr>
              <w:t>136,591</w:t>
            </w:r>
          </w:p>
        </w:tc>
        <w:tc>
          <w:tcPr>
            <w:tcW w:w="1580" w:type="dxa"/>
            <w:vAlign w:val="bottom"/>
            <w:tcBorders>
              <w:bottom w:val="single" w:sz="8" w:color="E5E6E6"/>
            </w:tcBorders>
          </w:tcPr>
          <w:p>
            <w:pPr>
              <w:jc w:val="right"/>
              <w:ind w:right="128"/>
              <w:spacing w:after="0"/>
              <w:rPr>
                <w:sz w:val="20"/>
                <w:szCs w:val="20"/>
                <w:color w:val="auto"/>
              </w:rPr>
            </w:pPr>
            <w:r>
              <w:rPr>
                <w:rFonts w:ascii="Arial" w:cs="Arial" w:eastAsia="Arial" w:hAnsi="Arial"/>
                <w:sz w:val="14"/>
                <w:szCs w:val="14"/>
                <w:color w:val="auto"/>
              </w:rPr>
              <w:t>3,227</w:t>
            </w:r>
          </w:p>
        </w:tc>
        <w:tc>
          <w:tcPr>
            <w:tcW w:w="1460" w:type="dxa"/>
            <w:vAlign w:val="bottom"/>
            <w:tcBorders>
              <w:bottom w:val="single" w:sz="8" w:color="E5E6E6"/>
            </w:tcBorders>
          </w:tcPr>
          <w:p>
            <w:pPr>
              <w:jc w:val="right"/>
              <w:ind w:right="28"/>
              <w:spacing w:after="0"/>
              <w:rPr>
                <w:sz w:val="20"/>
                <w:szCs w:val="20"/>
                <w:color w:val="auto"/>
              </w:rPr>
            </w:pPr>
            <w:r>
              <w:rPr>
                <w:rFonts w:ascii="Arial" w:cs="Arial" w:eastAsia="Arial" w:hAnsi="Arial"/>
                <w:sz w:val="14"/>
                <w:szCs w:val="14"/>
                <w:color w:val="auto"/>
              </w:rPr>
              <w:t>58,506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The performance measure selected by the Talent and Compensation Committee for the PRSUs is our return on average assets for the applicable calendar year performance period relative to the designated peer group as adjusted by the TSR modifier relative to the same designated peer group.</w:t>
      </w:r>
    </w:p>
    <w:p>
      <w:pPr>
        <w:spacing w:after="0" w:line="1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See 2020 Executive Compensation Components: Long-Term Equity Incentive Awards for additional information regarding long-term equity incentive awards granted to NEOs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Shareholder Response</w:t>
      </w:r>
    </w:p>
    <w:p>
      <w:pPr>
        <w:spacing w:after="0" w:line="19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most recent shareholder advisory vote on our NEO compensation was held at our 2020 Annual Meeting of Shareholders. Excluding abstentions and broker nonvotes, over 98% of the votes cast were in support of our executive compensation program. Because we view this outcome as overwhelmingly supportive of our compensation policies and practices, we do not believe the vote requires consideration of changes to the program. Nonetheless, because market practices and our business needs continue to evolve, we continually evaluate our program and make changes when warranted.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Pay for Performance</w:t>
      </w:r>
    </w:p>
    <w:p>
      <w:pPr>
        <w:spacing w:after="0" w:line="19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Consistent with our compensation philosophy, and as illustrated below, a significant portion of 2020 total direct compensation for our NEOs was based on performance as compared to pre-established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116840</wp:posOffset>
            </wp:positionV>
            <wp:extent cx="6463665" cy="1499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6366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40"/>
        <w:spacing w:after="0"/>
        <w:rPr>
          <w:sz w:val="20"/>
          <w:szCs w:val="20"/>
          <w:color w:val="auto"/>
        </w:rPr>
      </w:pPr>
      <w:r>
        <w:rPr>
          <w:rFonts w:ascii="Arial" w:cs="Arial" w:eastAsia="Arial" w:hAnsi="Arial"/>
          <w:sz w:val="14"/>
          <w:szCs w:val="14"/>
          <w:color w:val="FFFFFF"/>
        </w:rPr>
        <w:t>Variable/At Risk</w:t>
      </w:r>
    </w:p>
    <w:p>
      <w:pPr>
        <w:spacing w:after="0" w:line="64" w:lineRule="exact"/>
        <w:rPr>
          <w:sz w:val="20"/>
          <w:szCs w:val="20"/>
          <w:color w:val="auto"/>
        </w:rPr>
      </w:pPr>
    </w:p>
    <w:tbl>
      <w:tblPr>
        <w:tblLayout w:type="fixed"/>
        <w:tblInd w:w="8100" w:type="dxa"/>
        <w:tblCellMar>
          <w:top w:w="0" w:type="dxa"/>
          <w:left w:w="0" w:type="dxa"/>
          <w:bottom w:w="0" w:type="dxa"/>
          <w:right w:w="0" w:type="dxa"/>
        </w:tblCellMar>
      </w:tblPr>
      <w:tr>
        <w:trPr>
          <w:trHeight w:val="162"/>
        </w:trPr>
        <w:tc>
          <w:tcPr>
            <w:tcW w:w="1340" w:type="dxa"/>
            <w:vAlign w:val="bottom"/>
            <w:tcBorders>
              <w:right w:val="single" w:sz="8" w:color="E5E6E6"/>
            </w:tcBorders>
          </w:tcPr>
          <w:p>
            <w:pPr>
              <w:ind w:left="60"/>
              <w:spacing w:after="0"/>
              <w:rPr>
                <w:sz w:val="20"/>
                <w:szCs w:val="20"/>
                <w:color w:val="auto"/>
              </w:rPr>
            </w:pPr>
            <w:r>
              <w:rPr>
                <w:rFonts w:ascii="Arial" w:cs="Arial" w:eastAsia="Arial" w:hAnsi="Arial"/>
                <w:sz w:val="14"/>
                <w:szCs w:val="14"/>
                <w:color w:val="auto"/>
              </w:rPr>
              <w:t>CEO</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54%</w:t>
            </w:r>
          </w:p>
        </w:tc>
      </w:tr>
      <w:tr>
        <w:trPr>
          <w:trHeight w:val="162"/>
        </w:trPr>
        <w:tc>
          <w:tcPr>
            <w:tcW w:w="1340" w:type="dxa"/>
            <w:vAlign w:val="bottom"/>
            <w:tcBorders>
              <w:right w:val="single" w:sz="8" w:color="E5E6E6"/>
            </w:tcBorders>
            <w:shd w:val="clear" w:color="auto" w:fill="E5E6E6"/>
          </w:tcPr>
          <w:p>
            <w:pPr>
              <w:ind w:left="60"/>
              <w:spacing w:after="0"/>
              <w:rPr>
                <w:sz w:val="20"/>
                <w:szCs w:val="20"/>
                <w:color w:val="auto"/>
              </w:rPr>
            </w:pPr>
            <w:r>
              <w:rPr>
                <w:rFonts w:ascii="Arial" w:cs="Arial" w:eastAsia="Arial" w:hAnsi="Arial"/>
                <w:sz w:val="14"/>
                <w:szCs w:val="14"/>
                <w:color w:val="auto"/>
              </w:rPr>
              <w:t>All Other NEOs</w:t>
            </w:r>
          </w:p>
        </w:tc>
        <w:tc>
          <w:tcPr>
            <w:tcW w:w="1160" w:type="dxa"/>
            <w:vAlign w:val="bottom"/>
            <w:shd w:val="clear" w:color="auto" w:fill="E5E6E6"/>
          </w:tcPr>
          <w:p>
            <w:pPr>
              <w:jc w:val="right"/>
              <w:ind w:right="368"/>
              <w:spacing w:after="0"/>
              <w:rPr>
                <w:sz w:val="20"/>
                <w:szCs w:val="20"/>
                <w:color w:val="auto"/>
              </w:rPr>
            </w:pPr>
            <w:r>
              <w:rPr>
                <w:rFonts w:ascii="Arial" w:cs="Arial" w:eastAsia="Arial" w:hAnsi="Arial"/>
                <w:sz w:val="14"/>
                <w:szCs w:val="14"/>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-102235</wp:posOffset>
            </wp:positionV>
            <wp:extent cx="889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Legend: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TRSU — Long-Term Equity Incentive Awards - Time-Based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PRSU — Long-Term Equity Incentive Awards - Performance-Based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i w:val="1"/>
          <w:iCs w:val="1"/>
          <w:color w:val="1077A9"/>
        </w:rPr>
        <w:t>Compensation Philosophy and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overall compensation philosophy seeks to achieve the following objectives with respect to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ind w:left="80"/>
              <w:spacing w:after="0"/>
              <w:rPr>
                <w:sz w:val="20"/>
                <w:szCs w:val="20"/>
                <w:color w:val="auto"/>
              </w:rPr>
            </w:pPr>
            <w:r>
              <w:rPr>
                <w:rFonts w:ascii="Arial" w:cs="Arial" w:eastAsia="Arial" w:hAnsi="Arial"/>
                <w:sz w:val="18"/>
                <w:szCs w:val="18"/>
                <w:color w:val="auto"/>
              </w:rPr>
              <w:t>Competitive</w:t>
            </w:r>
          </w:p>
        </w:tc>
        <w:tc>
          <w:tcPr>
            <w:tcW w:w="8880" w:type="dxa"/>
            <w:vAlign w:val="bottom"/>
          </w:tcPr>
          <w:p>
            <w:pPr>
              <w:ind w:left="460"/>
              <w:spacing w:after="0"/>
              <w:rPr>
                <w:sz w:val="20"/>
                <w:szCs w:val="20"/>
                <w:color w:val="auto"/>
              </w:rPr>
            </w:pPr>
            <w:r>
              <w:rPr>
                <w:rFonts w:ascii="Arial" w:cs="Arial" w:eastAsia="Arial" w:hAnsi="Arial"/>
                <w:sz w:val="18"/>
                <w:szCs w:val="18"/>
                <w:color w:val="auto"/>
              </w:rPr>
              <w:t>We offer competitive compensation to our executives and employees based on comparable external</w:t>
            </w:r>
          </w:p>
        </w:tc>
      </w:tr>
      <w:tr>
        <w:trPr>
          <w:trHeight w:val="224"/>
        </w:trPr>
        <w:tc>
          <w:tcPr>
            <w:tcW w:w="2360" w:type="dxa"/>
            <w:vAlign w:val="bottom"/>
          </w:tcPr>
          <w:p>
            <w:pPr>
              <w:spacing w:after="0"/>
              <w:rPr>
                <w:sz w:val="19"/>
                <w:szCs w:val="19"/>
                <w:color w:val="auto"/>
              </w:rPr>
            </w:pPr>
          </w:p>
        </w:tc>
        <w:tc>
          <w:tcPr>
            <w:tcW w:w="8880" w:type="dxa"/>
            <w:vAlign w:val="bottom"/>
          </w:tcPr>
          <w:p>
            <w:pPr>
              <w:ind w:left="460"/>
              <w:spacing w:after="0"/>
              <w:rPr>
                <w:sz w:val="20"/>
                <w:szCs w:val="20"/>
                <w:color w:val="auto"/>
              </w:rPr>
            </w:pPr>
            <w:r>
              <w:rPr>
                <w:rFonts w:ascii="Arial" w:cs="Arial" w:eastAsia="Arial" w:hAnsi="Arial"/>
                <w:sz w:val="18"/>
                <w:szCs w:val="18"/>
                <w:color w:val="auto"/>
              </w:rPr>
              <w:t>market information.</w:t>
            </w:r>
          </w:p>
        </w:tc>
      </w:tr>
      <w:tr>
        <w:trPr>
          <w:trHeight w:val="263"/>
        </w:trPr>
        <w:tc>
          <w:tcPr>
            <w:tcW w:w="2360" w:type="dxa"/>
            <w:vAlign w:val="bottom"/>
            <w:shd w:val="clear" w:color="auto" w:fill="E5E6E6"/>
          </w:tcPr>
          <w:p>
            <w:pPr>
              <w:ind w:left="80"/>
              <w:spacing w:after="0"/>
              <w:rPr>
                <w:sz w:val="20"/>
                <w:szCs w:val="20"/>
                <w:color w:val="auto"/>
              </w:rPr>
            </w:pPr>
            <w:r>
              <w:rPr>
                <w:rFonts w:ascii="Arial" w:cs="Arial" w:eastAsia="Arial" w:hAnsi="Arial"/>
                <w:sz w:val="18"/>
                <w:szCs w:val="18"/>
                <w:color w:val="auto"/>
              </w:rPr>
              <w:t>Fair and Equitable</w:t>
            </w:r>
          </w:p>
        </w:tc>
        <w:tc>
          <w:tcPr>
            <w:tcW w:w="8880" w:type="dxa"/>
            <w:vAlign w:val="bottom"/>
            <w:shd w:val="clear" w:color="auto" w:fill="E5E6E6"/>
          </w:tcPr>
          <w:p>
            <w:pPr>
              <w:ind w:left="460"/>
              <w:spacing w:after="0"/>
              <w:rPr>
                <w:sz w:val="20"/>
                <w:szCs w:val="20"/>
                <w:color w:val="auto"/>
              </w:rPr>
            </w:pPr>
            <w:r>
              <w:rPr>
                <w:rFonts w:ascii="Arial" w:cs="Arial" w:eastAsia="Arial" w:hAnsi="Arial"/>
                <w:sz w:val="18"/>
                <w:szCs w:val="18"/>
                <w:color w:val="auto"/>
              </w:rPr>
              <w:t>We are committed to the fair and equitable administration of our compensation and incentive plans.</w:t>
            </w:r>
          </w:p>
        </w:tc>
      </w:tr>
      <w:tr>
        <w:trPr>
          <w:trHeight w:val="229"/>
        </w:trPr>
        <w:tc>
          <w:tcPr>
            <w:tcW w:w="2360" w:type="dxa"/>
            <w:vAlign w:val="bottom"/>
          </w:tcPr>
          <w:p>
            <w:pPr>
              <w:ind w:left="80"/>
              <w:spacing w:after="0"/>
              <w:rPr>
                <w:sz w:val="20"/>
                <w:szCs w:val="20"/>
                <w:color w:val="auto"/>
              </w:rPr>
            </w:pPr>
            <w:r>
              <w:rPr>
                <w:rFonts w:ascii="Arial" w:cs="Arial" w:eastAsia="Arial" w:hAnsi="Arial"/>
                <w:sz w:val="18"/>
                <w:szCs w:val="18"/>
                <w:color w:val="auto"/>
              </w:rPr>
              <w:t>Performance Based</w:t>
            </w:r>
          </w:p>
        </w:tc>
        <w:tc>
          <w:tcPr>
            <w:tcW w:w="8880" w:type="dxa"/>
            <w:vAlign w:val="bottom"/>
          </w:tcPr>
          <w:p>
            <w:pPr>
              <w:ind w:left="460"/>
              <w:spacing w:after="0"/>
              <w:rPr>
                <w:sz w:val="20"/>
                <w:szCs w:val="20"/>
                <w:color w:val="auto"/>
              </w:rPr>
            </w:pPr>
            <w:r>
              <w:rPr>
                <w:rFonts w:ascii="Arial" w:cs="Arial" w:eastAsia="Arial" w:hAnsi="Arial"/>
                <w:sz w:val="18"/>
                <w:szCs w:val="18"/>
                <w:color w:val="auto"/>
              </w:rPr>
              <w:t>We strive to reward our employees on the basis of individual and company-wide, risk-adjusted</w:t>
            </w:r>
          </w:p>
        </w:tc>
      </w:tr>
      <w:tr>
        <w:trPr>
          <w:trHeight w:val="224"/>
        </w:trPr>
        <w:tc>
          <w:tcPr>
            <w:tcW w:w="2360" w:type="dxa"/>
            <w:vAlign w:val="bottom"/>
          </w:tcPr>
          <w:p>
            <w:pPr>
              <w:spacing w:after="0"/>
              <w:rPr>
                <w:sz w:val="19"/>
                <w:szCs w:val="19"/>
                <w:color w:val="auto"/>
              </w:rPr>
            </w:pPr>
          </w:p>
        </w:tc>
        <w:tc>
          <w:tcPr>
            <w:tcW w:w="8880" w:type="dxa"/>
            <w:vAlign w:val="bottom"/>
          </w:tcPr>
          <w:p>
            <w:pPr>
              <w:ind w:left="460"/>
              <w:spacing w:after="0"/>
              <w:rPr>
                <w:sz w:val="20"/>
                <w:szCs w:val="20"/>
                <w:color w:val="auto"/>
              </w:rPr>
            </w:pPr>
            <w:r>
              <w:rPr>
                <w:rFonts w:ascii="Arial" w:cs="Arial" w:eastAsia="Arial" w:hAnsi="Arial"/>
                <w:sz w:val="18"/>
                <w:szCs w:val="18"/>
                <w:color w:val="auto"/>
              </w:rPr>
              <w:t>performance.</w:t>
            </w:r>
          </w:p>
        </w:tc>
      </w:tr>
      <w:tr>
        <w:trPr>
          <w:trHeight w:val="235"/>
        </w:trPr>
        <w:tc>
          <w:tcPr>
            <w:tcW w:w="2360" w:type="dxa"/>
            <w:vAlign w:val="bottom"/>
            <w:shd w:val="clear" w:color="auto" w:fill="E5E6E6"/>
          </w:tcPr>
          <w:p>
            <w:pPr>
              <w:ind w:left="80"/>
              <w:spacing w:after="0"/>
              <w:rPr>
                <w:sz w:val="20"/>
                <w:szCs w:val="20"/>
                <w:color w:val="auto"/>
              </w:rPr>
            </w:pPr>
            <w:r>
              <w:rPr>
                <w:rFonts w:ascii="Arial" w:cs="Arial" w:eastAsia="Arial" w:hAnsi="Arial"/>
                <w:sz w:val="18"/>
                <w:szCs w:val="18"/>
                <w:color w:val="auto"/>
              </w:rPr>
              <w:t>Long Term Soundness</w:t>
            </w:r>
          </w:p>
        </w:tc>
        <w:tc>
          <w:tcPr>
            <w:tcW w:w="8880" w:type="dxa"/>
            <w:vAlign w:val="bottom"/>
            <w:shd w:val="clear" w:color="auto" w:fill="E5E6E6"/>
          </w:tcPr>
          <w:p>
            <w:pPr>
              <w:ind w:left="460"/>
              <w:spacing w:after="0"/>
              <w:rPr>
                <w:sz w:val="20"/>
                <w:szCs w:val="20"/>
                <w:color w:val="auto"/>
              </w:rPr>
            </w:pPr>
            <w:r>
              <w:rPr>
                <w:rFonts w:ascii="Arial" w:cs="Arial" w:eastAsia="Arial" w:hAnsi="Arial"/>
                <w:sz w:val="18"/>
                <w:szCs w:val="18"/>
                <w:color w:val="auto"/>
              </w:rPr>
              <w:t>We attempt to appropriately balance risks and rewards in a manner that does not encourage excessive or</w:t>
            </w:r>
          </w:p>
        </w:tc>
      </w:tr>
      <w:tr>
        <w:trPr>
          <w:trHeight w:val="203"/>
        </w:trPr>
        <w:tc>
          <w:tcPr>
            <w:tcW w:w="2360" w:type="dxa"/>
            <w:vAlign w:val="bottom"/>
            <w:shd w:val="clear" w:color="auto" w:fill="E5E6E6"/>
          </w:tcPr>
          <w:p>
            <w:pPr>
              <w:spacing w:after="0"/>
              <w:rPr>
                <w:sz w:val="17"/>
                <w:szCs w:val="17"/>
                <w:color w:val="auto"/>
              </w:rPr>
            </w:pPr>
          </w:p>
        </w:tc>
        <w:tc>
          <w:tcPr>
            <w:tcW w:w="8880" w:type="dxa"/>
            <w:vAlign w:val="bottom"/>
            <w:shd w:val="clear" w:color="auto" w:fill="E5E6E6"/>
          </w:tcPr>
          <w:p>
            <w:pPr>
              <w:ind w:left="460"/>
              <w:spacing w:after="0" w:line="202" w:lineRule="exact"/>
              <w:rPr>
                <w:sz w:val="20"/>
                <w:szCs w:val="20"/>
                <w:color w:val="auto"/>
              </w:rPr>
            </w:pPr>
            <w:r>
              <w:rPr>
                <w:rFonts w:ascii="Arial" w:cs="Arial" w:eastAsia="Arial" w:hAnsi="Arial"/>
                <w:sz w:val="18"/>
                <w:szCs w:val="18"/>
                <w:color w:val="auto"/>
              </w:rPr>
              <w:t>imprudent risk-taking by our executives and employees. We take into account a number of performance</w:t>
            </w:r>
          </w:p>
        </w:tc>
      </w:tr>
      <w:tr>
        <w:trPr>
          <w:trHeight w:val="203"/>
        </w:trPr>
        <w:tc>
          <w:tcPr>
            <w:tcW w:w="2360" w:type="dxa"/>
            <w:vAlign w:val="bottom"/>
            <w:shd w:val="clear" w:color="auto" w:fill="E5E6E6"/>
          </w:tcPr>
          <w:p>
            <w:pPr>
              <w:spacing w:after="0"/>
              <w:rPr>
                <w:sz w:val="17"/>
                <w:szCs w:val="17"/>
                <w:color w:val="auto"/>
              </w:rPr>
            </w:pPr>
          </w:p>
        </w:tc>
        <w:tc>
          <w:tcPr>
            <w:tcW w:w="8880" w:type="dxa"/>
            <w:vAlign w:val="bottom"/>
            <w:shd w:val="clear" w:color="auto" w:fill="E5E6E6"/>
          </w:tcPr>
          <w:p>
            <w:pPr>
              <w:ind w:left="460"/>
              <w:spacing w:after="0" w:line="202" w:lineRule="exact"/>
              <w:rPr>
                <w:sz w:val="20"/>
                <w:szCs w:val="20"/>
                <w:color w:val="auto"/>
              </w:rPr>
            </w:pPr>
            <w:r>
              <w:rPr>
                <w:rFonts w:ascii="Arial" w:cs="Arial" w:eastAsia="Arial" w:hAnsi="Arial"/>
                <w:sz w:val="18"/>
                <w:szCs w:val="18"/>
                <w:color w:val="auto"/>
              </w:rPr>
              <w:t>metrics when determining whether to award incentive compensation to promote long-term financial</w:t>
            </w:r>
          </w:p>
        </w:tc>
      </w:tr>
      <w:tr>
        <w:trPr>
          <w:trHeight w:val="230"/>
        </w:trPr>
        <w:tc>
          <w:tcPr>
            <w:tcW w:w="2360" w:type="dxa"/>
            <w:vAlign w:val="bottom"/>
            <w:shd w:val="clear" w:color="auto" w:fill="E5E6E6"/>
          </w:tcPr>
          <w:p>
            <w:pPr>
              <w:spacing w:after="0"/>
              <w:rPr>
                <w:sz w:val="20"/>
                <w:szCs w:val="20"/>
                <w:color w:val="auto"/>
              </w:rPr>
            </w:pPr>
          </w:p>
        </w:tc>
        <w:tc>
          <w:tcPr>
            <w:tcW w:w="8880" w:type="dxa"/>
            <w:vAlign w:val="bottom"/>
            <w:shd w:val="clear" w:color="auto" w:fill="E5E6E6"/>
          </w:tcPr>
          <w:p>
            <w:pPr>
              <w:ind w:left="460"/>
              <w:spacing w:after="0"/>
              <w:rPr>
                <w:sz w:val="20"/>
                <w:szCs w:val="20"/>
                <w:color w:val="auto"/>
              </w:rPr>
            </w:pPr>
            <w:r>
              <w:rPr>
                <w:rFonts w:ascii="Arial" w:cs="Arial" w:eastAsia="Arial" w:hAnsi="Arial"/>
                <w:sz w:val="18"/>
                <w:szCs w:val="18"/>
                <w:color w:val="auto"/>
              </w:rPr>
              <w:t>success.</w:t>
            </w:r>
          </w:p>
        </w:tc>
      </w:tr>
      <w:tr>
        <w:trPr>
          <w:trHeight w:val="250"/>
        </w:trPr>
        <w:tc>
          <w:tcPr>
            <w:tcW w:w="2360" w:type="dxa"/>
            <w:vAlign w:val="bottom"/>
          </w:tcPr>
          <w:p>
            <w:pPr>
              <w:ind w:left="80"/>
              <w:spacing w:after="0"/>
              <w:rPr>
                <w:sz w:val="20"/>
                <w:szCs w:val="20"/>
                <w:color w:val="auto"/>
              </w:rPr>
            </w:pPr>
            <w:r>
              <w:rPr>
                <w:rFonts w:ascii="Arial" w:cs="Arial" w:eastAsia="Arial" w:hAnsi="Arial"/>
                <w:sz w:val="18"/>
                <w:szCs w:val="18"/>
                <w:color w:val="auto"/>
              </w:rPr>
              <w:t>Communication</w:t>
            </w:r>
          </w:p>
        </w:tc>
        <w:tc>
          <w:tcPr>
            <w:tcW w:w="8880" w:type="dxa"/>
            <w:vAlign w:val="bottom"/>
          </w:tcPr>
          <w:p>
            <w:pPr>
              <w:ind w:left="460"/>
              <w:spacing w:after="0"/>
              <w:rPr>
                <w:sz w:val="20"/>
                <w:szCs w:val="20"/>
                <w:color w:val="auto"/>
              </w:rPr>
            </w:pPr>
            <w:r>
              <w:rPr>
                <w:rFonts w:ascii="Arial" w:cs="Arial" w:eastAsia="Arial" w:hAnsi="Arial"/>
                <w:sz w:val="18"/>
                <w:szCs w:val="18"/>
                <w:color w:val="auto"/>
              </w:rPr>
              <w:t>We make every effort to communicate each individual’s compensation package clearly.</w:t>
            </w:r>
          </w:p>
        </w:tc>
      </w:tr>
      <w:tr>
        <w:trPr>
          <w:trHeight w:val="235"/>
        </w:trPr>
        <w:tc>
          <w:tcPr>
            <w:tcW w:w="2360" w:type="dxa"/>
            <w:vAlign w:val="bottom"/>
            <w:shd w:val="clear" w:color="auto" w:fill="E5E6E6"/>
          </w:tcPr>
          <w:p>
            <w:pPr>
              <w:ind w:left="80"/>
              <w:spacing w:after="0"/>
              <w:rPr>
                <w:sz w:val="20"/>
                <w:szCs w:val="20"/>
                <w:color w:val="auto"/>
              </w:rPr>
            </w:pPr>
            <w:r>
              <w:rPr>
                <w:rFonts w:ascii="Arial" w:cs="Arial" w:eastAsia="Arial" w:hAnsi="Arial"/>
                <w:sz w:val="18"/>
                <w:szCs w:val="18"/>
                <w:color w:val="auto"/>
              </w:rPr>
              <w:t>Peer Positioning</w:t>
            </w:r>
          </w:p>
        </w:tc>
        <w:tc>
          <w:tcPr>
            <w:tcW w:w="8880" w:type="dxa"/>
            <w:vAlign w:val="bottom"/>
            <w:shd w:val="clear" w:color="auto" w:fill="E5E6E6"/>
          </w:tcPr>
          <w:p>
            <w:pPr>
              <w:ind w:left="460"/>
              <w:spacing w:after="0"/>
              <w:rPr>
                <w:sz w:val="20"/>
                <w:szCs w:val="20"/>
                <w:color w:val="auto"/>
              </w:rPr>
            </w:pPr>
            <w:r>
              <w:rPr>
                <w:rFonts w:ascii="Arial" w:cs="Arial" w:eastAsia="Arial" w:hAnsi="Arial"/>
                <w:sz w:val="18"/>
                <w:szCs w:val="18"/>
                <w:color w:val="auto"/>
              </w:rPr>
              <w:t>We use peer compensation levels to help guide our decisions. Our targets for total direct compensation</w:t>
            </w:r>
          </w:p>
        </w:tc>
      </w:tr>
      <w:tr>
        <w:trPr>
          <w:trHeight w:val="230"/>
        </w:trPr>
        <w:tc>
          <w:tcPr>
            <w:tcW w:w="2360" w:type="dxa"/>
            <w:vAlign w:val="bottom"/>
            <w:shd w:val="clear" w:color="auto" w:fill="E5E6E6"/>
          </w:tcPr>
          <w:p>
            <w:pPr>
              <w:spacing w:after="0"/>
              <w:rPr>
                <w:sz w:val="20"/>
                <w:szCs w:val="20"/>
                <w:color w:val="auto"/>
              </w:rPr>
            </w:pPr>
          </w:p>
        </w:tc>
        <w:tc>
          <w:tcPr>
            <w:tcW w:w="8880" w:type="dxa"/>
            <w:vAlign w:val="bottom"/>
            <w:shd w:val="clear" w:color="auto" w:fill="E5E6E6"/>
          </w:tcPr>
          <w:p>
            <w:pPr>
              <w:ind w:left="460"/>
              <w:spacing w:after="0"/>
              <w:rPr>
                <w:sz w:val="20"/>
                <w:szCs w:val="20"/>
                <w:color w:val="auto"/>
              </w:rPr>
            </w:pPr>
            <w:r>
              <w:rPr>
                <w:rFonts w:ascii="Arial" w:cs="Arial" w:eastAsia="Arial" w:hAnsi="Arial"/>
                <w:sz w:val="18"/>
                <w:szCs w:val="18"/>
                <w:color w:val="auto"/>
              </w:rPr>
              <w:t>(base salary, annual incentives and long-term incentives) 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791335" cy="7797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91335" cy="7797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2820" w:type="dxa"/>
            <w:vAlign w:val="bottom"/>
          </w:tcPr>
          <w:p>
            <w:pPr>
              <w:spacing w:after="0"/>
              <w:rPr>
                <w:sz w:val="20"/>
                <w:szCs w:val="20"/>
                <w:color w:val="auto"/>
              </w:rPr>
            </w:pPr>
          </w:p>
        </w:tc>
        <w:tc>
          <w:tcPr>
            <w:tcW w:w="3560" w:type="dxa"/>
            <w:vAlign w:val="bottom"/>
            <w:shd w:val="clear" w:color="auto" w:fill="E5E6E6"/>
          </w:tcPr>
          <w:p>
            <w:pPr>
              <w:ind w:left="560"/>
              <w:spacing w:after="0"/>
              <w:rPr>
                <w:sz w:val="20"/>
                <w:szCs w:val="20"/>
                <w:color w:val="auto"/>
              </w:rPr>
            </w:pPr>
            <w:r>
              <w:rPr>
                <w:rFonts w:ascii="Arial" w:cs="Arial" w:eastAsia="Arial" w:hAnsi="Arial"/>
                <w:sz w:val="18"/>
                <w:szCs w:val="18"/>
                <w:color w:val="auto"/>
              </w:rPr>
              <w:t>a. New to Position:</w:t>
            </w:r>
          </w:p>
        </w:tc>
        <w:tc>
          <w:tcPr>
            <w:tcW w:w="4860" w:type="dxa"/>
            <w:vAlign w:val="bottom"/>
            <w:shd w:val="clear" w:color="auto" w:fill="E5E6E6"/>
          </w:tcPr>
          <w:p>
            <w:pPr>
              <w:ind w:left="940"/>
              <w:spacing w:after="0"/>
              <w:rPr>
                <w:sz w:val="20"/>
                <w:szCs w:val="20"/>
                <w:color w:val="auto"/>
              </w:rPr>
            </w:pPr>
            <w:r>
              <w:rPr>
                <w:rFonts w:ascii="Arial" w:cs="Arial" w:eastAsia="Arial" w:hAnsi="Arial"/>
                <w:sz w:val="18"/>
                <w:szCs w:val="18"/>
                <w:color w:val="auto"/>
              </w:rPr>
              <w:t>Between the 1st and 40th percentile</w:t>
            </w:r>
          </w:p>
        </w:tc>
      </w:tr>
      <w:tr>
        <w:trPr>
          <w:trHeight w:val="243"/>
        </w:trPr>
        <w:tc>
          <w:tcPr>
            <w:tcW w:w="2820" w:type="dxa"/>
            <w:vAlign w:val="bottom"/>
          </w:tcPr>
          <w:p>
            <w:pPr>
              <w:spacing w:after="0"/>
              <w:rPr>
                <w:sz w:val="21"/>
                <w:szCs w:val="21"/>
                <w:color w:val="auto"/>
              </w:rPr>
            </w:pPr>
          </w:p>
        </w:tc>
        <w:tc>
          <w:tcPr>
            <w:tcW w:w="3560" w:type="dxa"/>
            <w:vAlign w:val="bottom"/>
            <w:shd w:val="clear" w:color="auto" w:fill="E5E6E6"/>
          </w:tcPr>
          <w:p>
            <w:pPr>
              <w:ind w:left="560"/>
              <w:spacing w:after="0"/>
              <w:rPr>
                <w:sz w:val="20"/>
                <w:szCs w:val="20"/>
                <w:color w:val="auto"/>
              </w:rPr>
            </w:pPr>
            <w:r>
              <w:rPr>
                <w:rFonts w:ascii="Arial" w:cs="Arial" w:eastAsia="Arial" w:hAnsi="Arial"/>
                <w:sz w:val="18"/>
                <w:szCs w:val="18"/>
                <w:color w:val="auto"/>
              </w:rPr>
              <w:t>b. Experienced:</w:t>
            </w:r>
          </w:p>
        </w:tc>
        <w:tc>
          <w:tcPr>
            <w:tcW w:w="4860" w:type="dxa"/>
            <w:vAlign w:val="bottom"/>
            <w:shd w:val="clear" w:color="auto" w:fill="E5E6E6"/>
          </w:tcPr>
          <w:p>
            <w:pPr>
              <w:ind w:left="940"/>
              <w:spacing w:after="0"/>
              <w:rPr>
                <w:sz w:val="20"/>
                <w:szCs w:val="20"/>
                <w:color w:val="auto"/>
              </w:rPr>
            </w:pPr>
            <w:r>
              <w:rPr>
                <w:rFonts w:ascii="Arial" w:cs="Arial" w:eastAsia="Arial" w:hAnsi="Arial"/>
                <w:sz w:val="18"/>
                <w:szCs w:val="18"/>
                <w:color w:val="auto"/>
              </w:rPr>
              <w:t>40th -60th percentile</w:t>
            </w:r>
          </w:p>
        </w:tc>
      </w:tr>
      <w:tr>
        <w:trPr>
          <w:trHeight w:val="263"/>
        </w:trPr>
        <w:tc>
          <w:tcPr>
            <w:tcW w:w="2820" w:type="dxa"/>
            <w:vAlign w:val="bottom"/>
            <w:tcBorders>
              <w:bottom w:val="single" w:sz="8" w:color="1077A9"/>
            </w:tcBorders>
          </w:tcPr>
          <w:p>
            <w:pPr>
              <w:spacing w:after="0"/>
              <w:rPr>
                <w:sz w:val="22"/>
                <w:szCs w:val="22"/>
                <w:color w:val="auto"/>
              </w:rPr>
            </w:pPr>
          </w:p>
        </w:tc>
        <w:tc>
          <w:tcPr>
            <w:tcW w:w="3560" w:type="dxa"/>
            <w:vAlign w:val="bottom"/>
            <w:tcBorders>
              <w:bottom w:val="single" w:sz="8" w:color="1077A9"/>
            </w:tcBorders>
            <w:shd w:val="clear" w:color="auto" w:fill="E5E6E6"/>
          </w:tcPr>
          <w:p>
            <w:pPr>
              <w:ind w:left="560"/>
              <w:spacing w:after="0"/>
              <w:rPr>
                <w:sz w:val="20"/>
                <w:szCs w:val="20"/>
                <w:color w:val="auto"/>
              </w:rPr>
            </w:pPr>
            <w:r>
              <w:rPr>
                <w:rFonts w:ascii="Arial" w:cs="Arial" w:eastAsia="Arial" w:hAnsi="Arial"/>
                <w:sz w:val="18"/>
                <w:szCs w:val="18"/>
                <w:color w:val="auto"/>
              </w:rPr>
              <w:t>c. Proven High Performer:</w:t>
            </w:r>
          </w:p>
        </w:tc>
        <w:tc>
          <w:tcPr>
            <w:tcW w:w="4860" w:type="dxa"/>
            <w:vAlign w:val="bottom"/>
            <w:tcBorders>
              <w:bottom w:val="single" w:sz="8" w:color="1077A9"/>
            </w:tcBorders>
            <w:shd w:val="clear" w:color="auto" w:fill="E5E6E6"/>
          </w:tcPr>
          <w:p>
            <w:pPr>
              <w:ind w:left="940"/>
              <w:spacing w:after="0"/>
              <w:rPr>
                <w:sz w:val="20"/>
                <w:szCs w:val="20"/>
                <w:color w:val="auto"/>
              </w:rPr>
            </w:pPr>
            <w:r>
              <w:rPr>
                <w:rFonts w:ascii="Arial" w:cs="Arial" w:eastAsia="Arial" w:hAnsi="Arial"/>
                <w:sz w:val="18"/>
                <w:szCs w:val="18"/>
                <w:color w:val="auto"/>
              </w:rPr>
              <w:t>60th -75th percentile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material compensation principles applicable to the compensation of our NEOs are outlined below:</w:t>
      </w:r>
    </w:p>
    <w:p>
      <w:pPr>
        <w:spacing w:after="0" w:line="198" w:lineRule="exact"/>
        <w:rPr>
          <w:sz w:val="20"/>
          <w:szCs w:val="20"/>
          <w:color w:val="auto"/>
        </w:rPr>
      </w:pPr>
    </w:p>
    <w:p>
      <w:pPr>
        <w:ind w:left="660" w:right="20" w:hanging="328"/>
        <w:spacing w:after="0" w:line="23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determining total compensation, we consider the reasonable range of the median of total compensation of comparable positions at companies within our market comparator group, while accounting for distinct circumstances not reflected in the market data such as unique job descriptions as well as the impact that a particular officer may have on our ability to meet business objectives. For competitive or other reasons, our levels of total compensation or any component of compensation may exceed or be below the median range of our market comparator group.</w:t>
      </w:r>
    </w:p>
    <w:p>
      <w:pPr>
        <w:spacing w:after="0" w:line="188" w:lineRule="exact"/>
        <w:rPr>
          <w:rFonts w:ascii="Arial" w:cs="Arial" w:eastAsia="Arial" w:hAnsi="Arial"/>
          <w:sz w:val="18"/>
          <w:szCs w:val="18"/>
          <w:color w:val="auto"/>
        </w:rPr>
      </w:pPr>
    </w:p>
    <w:p>
      <w:pPr>
        <w:ind w:left="660" w:right="400" w:hanging="328"/>
        <w:spacing w:after="0" w:line="274"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set base salaries to reflect the responsibilities, experience, performance and contributions of the NEOs and the salaries for comparable benchmarked positions while maintaining an appropriate balance between base salary and incentive compensation.</w:t>
      </w:r>
    </w:p>
    <w:p>
      <w:pPr>
        <w:spacing w:after="0" w:line="161" w:lineRule="exact"/>
        <w:rPr>
          <w:rFonts w:ascii="Arial" w:cs="Arial" w:eastAsia="Arial" w:hAnsi="Arial"/>
          <w:sz w:val="17"/>
          <w:szCs w:val="17"/>
          <w:color w:val="auto"/>
        </w:rPr>
      </w:pPr>
    </w:p>
    <w:p>
      <w:pPr>
        <w:ind w:left="660" w:hanging="328"/>
        <w:spacing w:after="0" w:line="24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reward NEOs who enhance our performance by linking nonequity and equity incentive awards to the achievement of our financial goals.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promote share ownership to align the interests of our NEOs with those of our shareholders.</w:t>
      </w:r>
    </w:p>
    <w:p>
      <w:pPr>
        <w:spacing w:after="0" w:line="198" w:lineRule="exact"/>
        <w:rPr>
          <w:rFonts w:ascii="Arial" w:cs="Arial" w:eastAsia="Arial" w:hAnsi="Arial"/>
          <w:sz w:val="18"/>
          <w:szCs w:val="18"/>
          <w:color w:val="auto"/>
        </w:rPr>
      </w:pPr>
    </w:p>
    <w:p>
      <w:pPr>
        <w:ind w:left="660" w:right="480" w:hanging="328"/>
        <w:spacing w:after="0" w:line="24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approving compensation arrangements, we consider recent compensation history including special or unusual compensation payments.</w:t>
      </w:r>
    </w:p>
    <w:p>
      <w:pPr>
        <w:spacing w:after="0" w:line="183"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We have change-in-control severance agreements with our NEOs to promote executive continuity, aid in retention and secure valuable protections for United, such as restrictive covenants, as well as to facilitate implementation of our clawback policy.</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Talent and Compensation Committee also believes that compensation should not be excessive or based on the short-term performance of our stock, whether favorable or unfavorable, and should not encourage unnecessary or excessive risks. Further, the Talent and Compensation Committee believes that performance objectives should be motivating and challenging but also achievable and consistent with our safe and sound operation.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Compensation Best Practices</w:t>
      </w:r>
    </w:p>
    <w:p>
      <w:pPr>
        <w:spacing w:after="0" w:line="19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strive to align our executives’ interests with those of our shareholders. We further strive to follow sound governance practices over our executive compensation program and to ensure that our compensation programs and practices are consistent with safe and sound banking practices. Below are key features of our executive compensation program that we believe encourage executive performance consistent with responsible compensation practices.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358"/>
        </w:trPr>
        <w:tc>
          <w:tcPr>
            <w:tcW w:w="1580" w:type="dxa"/>
            <w:vAlign w:val="bottom"/>
          </w:tcPr>
          <w:p>
            <w:pPr>
              <w:jc w:val="center"/>
              <w:spacing w:after="0"/>
              <w:rPr>
                <w:sz w:val="20"/>
                <w:szCs w:val="20"/>
                <w:color w:val="auto"/>
              </w:rPr>
            </w:pPr>
            <w:r>
              <w:rPr>
                <w:rFonts w:ascii="Arial" w:cs="Arial" w:eastAsia="Arial" w:hAnsi="Arial"/>
                <w:sz w:val="27"/>
                <w:szCs w:val="27"/>
                <w:b w:val="1"/>
                <w:bCs w:val="1"/>
                <w:color w:val="1077A9"/>
              </w:rPr>
              <w:t>What We Do</w:t>
            </w:r>
          </w:p>
        </w:tc>
        <w:tc>
          <w:tcPr>
            <w:tcW w:w="9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9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1580" w:type="dxa"/>
            <w:vAlign w:val="bottom"/>
            <w:shd w:val="clear" w:color="auto" w:fill="2D3E5F"/>
          </w:tcPr>
          <w:p>
            <w:pPr>
              <w:jc w:val="center"/>
              <w:spacing w:after="0"/>
              <w:rPr>
                <w:sz w:val="20"/>
                <w:szCs w:val="20"/>
                <w:color w:val="auto"/>
              </w:rPr>
            </w:pPr>
            <w:r>
              <w:rPr>
                <w:rFonts w:ascii="Arial" w:cs="Arial" w:eastAsia="Arial" w:hAnsi="Arial"/>
                <w:sz w:val="18"/>
                <w:szCs w:val="18"/>
                <w:color w:val="FFFFFF"/>
                <w:w w:val="98"/>
              </w:rPr>
              <w:t>Pay for</w:t>
            </w:r>
          </w:p>
        </w:tc>
        <w:tc>
          <w:tcPr>
            <w:tcW w:w="9660" w:type="dxa"/>
            <w:vAlign w:val="bottom"/>
            <w:vMerge w:val="restart"/>
          </w:tcPr>
          <w:p>
            <w:pPr>
              <w:ind w:left="120"/>
              <w:spacing w:after="0"/>
              <w:rPr>
                <w:sz w:val="20"/>
                <w:szCs w:val="20"/>
                <w:color w:val="auto"/>
              </w:rPr>
            </w:pPr>
            <w:r>
              <w:rPr>
                <w:rFonts w:ascii="Arial" w:cs="Arial" w:eastAsia="Arial" w:hAnsi="Arial"/>
                <w:sz w:val="18"/>
                <w:szCs w:val="18"/>
                <w:color w:val="auto"/>
              </w:rPr>
              <w:t>A significant portion of executive compensation is linked to key metrics of Financial performance.</w:t>
            </w:r>
          </w:p>
        </w:tc>
        <w:tc>
          <w:tcPr>
            <w:tcW w:w="0" w:type="dxa"/>
            <w:vAlign w:val="bottom"/>
          </w:tcPr>
          <w:p>
            <w:pPr>
              <w:spacing w:after="0"/>
              <w:rPr>
                <w:sz w:val="1"/>
                <w:szCs w:val="1"/>
                <w:color w:val="auto"/>
              </w:rPr>
            </w:pPr>
          </w:p>
        </w:tc>
      </w:tr>
      <w:tr>
        <w:trPr>
          <w:trHeight w:val="109"/>
        </w:trPr>
        <w:tc>
          <w:tcPr>
            <w:tcW w:w="1580" w:type="dxa"/>
            <w:vAlign w:val="bottom"/>
            <w:vMerge w:val="restart"/>
            <w:shd w:val="clear" w:color="auto" w:fill="2D3E5F"/>
          </w:tcPr>
          <w:p>
            <w:pPr>
              <w:jc w:val="center"/>
              <w:spacing w:after="0"/>
              <w:rPr>
                <w:sz w:val="20"/>
                <w:szCs w:val="20"/>
                <w:color w:val="auto"/>
              </w:rPr>
            </w:pPr>
            <w:r>
              <w:rPr>
                <w:rFonts w:ascii="Arial" w:cs="Arial" w:eastAsia="Arial" w:hAnsi="Arial"/>
                <w:sz w:val="18"/>
                <w:szCs w:val="18"/>
                <w:color w:val="FFFFFF"/>
              </w:rPr>
              <w:t>Performance</w:t>
            </w:r>
          </w:p>
        </w:tc>
        <w:tc>
          <w:tcPr>
            <w:tcW w:w="9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shd w:val="clear" w:color="auto" w:fill="2D3E5F"/>
          </w:tcPr>
          <w:p>
            <w:pPr>
              <w:spacing w:after="0"/>
              <w:rPr>
                <w:sz w:val="9"/>
                <w:szCs w:val="9"/>
                <w:color w:val="auto"/>
              </w:rPr>
            </w:pPr>
          </w:p>
        </w:tc>
        <w:tc>
          <w:tcPr>
            <w:tcW w:w="9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2D3E5F"/>
          </w:tcPr>
          <w:p>
            <w:pPr>
              <w:spacing w:after="0"/>
              <w:rPr>
                <w:sz w:val="17"/>
                <w:szCs w:val="17"/>
                <w:color w:val="auto"/>
              </w:rPr>
            </w:pP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E5E6E6"/>
            </w:tcBorders>
          </w:tcPr>
          <w:p>
            <w:pPr>
              <w:spacing w:after="0"/>
              <w:rPr>
                <w:sz w:val="7"/>
                <w:szCs w:val="7"/>
                <w:color w:val="auto"/>
              </w:rPr>
            </w:pPr>
          </w:p>
        </w:tc>
        <w:tc>
          <w:tcPr>
            <w:tcW w:w="9660" w:type="dxa"/>
            <w:vAlign w:val="bottom"/>
            <w:tcBorders>
              <w:bottom w:val="single" w:sz="8" w:color="E5E6E6"/>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1580" w:type="dxa"/>
            <w:vAlign w:val="bottom"/>
            <w:shd w:val="clear" w:color="auto" w:fill="285A84"/>
          </w:tcPr>
          <w:p>
            <w:pPr>
              <w:jc w:val="center"/>
              <w:spacing w:after="0"/>
              <w:rPr>
                <w:sz w:val="20"/>
                <w:szCs w:val="20"/>
                <w:color w:val="auto"/>
              </w:rPr>
            </w:pPr>
            <w:r>
              <w:rPr>
                <w:rFonts w:ascii="Arial" w:cs="Arial" w:eastAsia="Arial" w:hAnsi="Arial"/>
                <w:sz w:val="18"/>
                <w:szCs w:val="18"/>
                <w:color w:val="FFFFFF"/>
                <w:w w:val="97"/>
              </w:rPr>
              <w:t>Multi-Year Vesting</w:t>
            </w:r>
          </w:p>
        </w:tc>
        <w:tc>
          <w:tcPr>
            <w:tcW w:w="9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285A84"/>
          </w:tcPr>
          <w:p>
            <w:pPr>
              <w:jc w:val="center"/>
              <w:spacing w:after="0" w:line="202" w:lineRule="exact"/>
              <w:rPr>
                <w:sz w:val="20"/>
                <w:szCs w:val="20"/>
                <w:color w:val="auto"/>
              </w:rPr>
            </w:pPr>
            <w:r>
              <w:rPr>
                <w:rFonts w:ascii="Arial" w:cs="Arial" w:eastAsia="Arial" w:hAnsi="Arial"/>
                <w:sz w:val="18"/>
                <w:szCs w:val="18"/>
                <w:color w:val="FFFFFF"/>
                <w:w w:val="99"/>
              </w:rPr>
              <w:t>Period for Long-</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Time-based restricted stock unit and performance-based restricted stock unit awards generally vest, subject to</w:t>
            </w:r>
          </w:p>
        </w:tc>
        <w:tc>
          <w:tcPr>
            <w:tcW w:w="0" w:type="dxa"/>
            <w:vAlign w:val="bottom"/>
          </w:tcPr>
          <w:p>
            <w:pPr>
              <w:spacing w:after="0"/>
              <w:rPr>
                <w:sz w:val="1"/>
                <w:szCs w:val="1"/>
                <w:color w:val="auto"/>
              </w:rPr>
            </w:pPr>
          </w:p>
        </w:tc>
      </w:tr>
      <w:tr>
        <w:trPr>
          <w:trHeight w:val="203"/>
        </w:trPr>
        <w:tc>
          <w:tcPr>
            <w:tcW w:w="1580" w:type="dxa"/>
            <w:vAlign w:val="bottom"/>
            <w:shd w:val="clear" w:color="auto" w:fill="285A84"/>
          </w:tcPr>
          <w:p>
            <w:pPr>
              <w:jc w:val="center"/>
              <w:spacing w:after="0" w:line="202" w:lineRule="exact"/>
              <w:rPr>
                <w:sz w:val="20"/>
                <w:szCs w:val="20"/>
                <w:color w:val="auto"/>
              </w:rPr>
            </w:pPr>
            <w:r>
              <w:rPr>
                <w:rFonts w:ascii="Arial" w:cs="Arial" w:eastAsia="Arial" w:hAnsi="Arial"/>
                <w:sz w:val="18"/>
                <w:szCs w:val="18"/>
                <w:color w:val="FFFFFF"/>
                <w:w w:val="97"/>
              </w:rPr>
              <w:t>Term Incentive</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performance achievement, ratably over a four-year period.</w:t>
            </w:r>
          </w:p>
        </w:tc>
        <w:tc>
          <w:tcPr>
            <w:tcW w:w="0" w:type="dxa"/>
            <w:vAlign w:val="bottom"/>
          </w:tcPr>
          <w:p>
            <w:pPr>
              <w:spacing w:after="0"/>
              <w:rPr>
                <w:sz w:val="1"/>
                <w:szCs w:val="1"/>
                <w:color w:val="auto"/>
              </w:rPr>
            </w:pPr>
          </w:p>
        </w:tc>
      </w:tr>
      <w:tr>
        <w:trPr>
          <w:trHeight w:val="217"/>
        </w:trPr>
        <w:tc>
          <w:tcPr>
            <w:tcW w:w="1580" w:type="dxa"/>
            <w:vAlign w:val="bottom"/>
            <w:shd w:val="clear" w:color="auto" w:fill="285A84"/>
          </w:tcPr>
          <w:p>
            <w:pPr>
              <w:jc w:val="center"/>
              <w:spacing w:after="0"/>
              <w:rPr>
                <w:sz w:val="20"/>
                <w:szCs w:val="20"/>
                <w:color w:val="auto"/>
              </w:rPr>
            </w:pPr>
            <w:r>
              <w:rPr>
                <w:rFonts w:ascii="Arial" w:cs="Arial" w:eastAsia="Arial" w:hAnsi="Arial"/>
                <w:sz w:val="18"/>
                <w:szCs w:val="18"/>
                <w:color w:val="FFFFFF"/>
                <w:w w:val="99"/>
              </w:rPr>
              <w:t>Awards</w:t>
            </w: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285A84"/>
          </w:tcPr>
          <w:p>
            <w:pPr>
              <w:spacing w:after="0"/>
              <w:rPr>
                <w:sz w:val="17"/>
                <w:szCs w:val="17"/>
                <w:color w:val="auto"/>
              </w:rPr>
            </w:pP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E5E6E6"/>
            </w:tcBorders>
          </w:tcPr>
          <w:p>
            <w:pPr>
              <w:spacing w:after="0"/>
              <w:rPr>
                <w:sz w:val="7"/>
                <w:szCs w:val="7"/>
                <w:color w:val="auto"/>
              </w:rPr>
            </w:pPr>
          </w:p>
        </w:tc>
        <w:tc>
          <w:tcPr>
            <w:tcW w:w="9660" w:type="dxa"/>
            <w:vAlign w:val="bottom"/>
            <w:tcBorders>
              <w:bottom w:val="single" w:sz="8" w:color="E5E6E6"/>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1580" w:type="dxa"/>
            <w:vAlign w:val="bottom"/>
            <w:shd w:val="clear" w:color="auto" w:fill="0E78A9"/>
          </w:tcPr>
          <w:p>
            <w:pPr>
              <w:jc w:val="center"/>
              <w:spacing w:after="0"/>
              <w:rPr>
                <w:sz w:val="20"/>
                <w:szCs w:val="20"/>
                <w:color w:val="auto"/>
              </w:rPr>
            </w:pPr>
            <w:r>
              <w:rPr>
                <w:rFonts w:ascii="Arial" w:cs="Arial" w:eastAsia="Arial" w:hAnsi="Arial"/>
                <w:sz w:val="18"/>
                <w:szCs w:val="18"/>
                <w:color w:val="auto"/>
                <w:w w:val="99"/>
              </w:rPr>
              <w:t>Double Trigger</w:t>
            </w:r>
          </w:p>
        </w:tc>
        <w:tc>
          <w:tcPr>
            <w:tcW w:w="9660" w:type="dxa"/>
            <w:vAlign w:val="bottom"/>
          </w:tcPr>
          <w:p>
            <w:pPr>
              <w:ind w:left="120"/>
              <w:spacing w:after="0"/>
              <w:rPr>
                <w:sz w:val="20"/>
                <w:szCs w:val="20"/>
                <w:color w:val="auto"/>
              </w:rPr>
            </w:pPr>
            <w:r>
              <w:rPr>
                <w:rFonts w:ascii="Arial" w:cs="Arial" w:eastAsia="Arial" w:hAnsi="Arial"/>
                <w:sz w:val="18"/>
                <w:szCs w:val="18"/>
                <w:color w:val="auto"/>
              </w:rPr>
              <w:t>Our severance agreements require both a change in control and termination of employment without cause or for good</w:t>
            </w:r>
          </w:p>
        </w:tc>
        <w:tc>
          <w:tcPr>
            <w:tcW w:w="0" w:type="dxa"/>
            <w:vAlign w:val="bottom"/>
          </w:tcPr>
          <w:p>
            <w:pPr>
              <w:spacing w:after="0"/>
              <w:rPr>
                <w:sz w:val="1"/>
                <w:szCs w:val="1"/>
                <w:color w:val="auto"/>
              </w:rPr>
            </w:pPr>
          </w:p>
        </w:tc>
      </w:tr>
      <w:tr>
        <w:trPr>
          <w:trHeight w:val="203"/>
        </w:trPr>
        <w:tc>
          <w:tcPr>
            <w:tcW w:w="1580" w:type="dxa"/>
            <w:vAlign w:val="bottom"/>
            <w:shd w:val="clear" w:color="auto" w:fill="0E78A9"/>
          </w:tcPr>
          <w:p>
            <w:pPr>
              <w:jc w:val="center"/>
              <w:spacing w:after="0" w:line="202" w:lineRule="exact"/>
              <w:rPr>
                <w:sz w:val="20"/>
                <w:szCs w:val="20"/>
                <w:color w:val="auto"/>
              </w:rPr>
            </w:pPr>
            <w:r>
              <w:rPr>
                <w:rFonts w:ascii="Arial" w:cs="Arial" w:eastAsia="Arial" w:hAnsi="Arial"/>
                <w:sz w:val="18"/>
                <w:szCs w:val="18"/>
                <w:color w:val="auto"/>
              </w:rPr>
              <w:t>Change-in-Control</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reason for an executive to be entitled to severance payments. In addition, our long-term equity incentive awards for</w:t>
            </w:r>
          </w:p>
        </w:tc>
        <w:tc>
          <w:tcPr>
            <w:tcW w:w="0" w:type="dxa"/>
            <w:vAlign w:val="bottom"/>
          </w:tcPr>
          <w:p>
            <w:pPr>
              <w:spacing w:after="0"/>
              <w:rPr>
                <w:sz w:val="1"/>
                <w:szCs w:val="1"/>
                <w:color w:val="auto"/>
              </w:rPr>
            </w:pPr>
          </w:p>
        </w:tc>
      </w:tr>
      <w:tr>
        <w:trPr>
          <w:trHeight w:val="217"/>
        </w:trPr>
        <w:tc>
          <w:tcPr>
            <w:tcW w:w="1580" w:type="dxa"/>
            <w:vAlign w:val="bottom"/>
            <w:shd w:val="clear" w:color="auto" w:fill="0E78A9"/>
          </w:tcPr>
          <w:p>
            <w:pPr>
              <w:jc w:val="center"/>
              <w:spacing w:after="0"/>
              <w:rPr>
                <w:sz w:val="20"/>
                <w:szCs w:val="20"/>
                <w:color w:val="auto"/>
              </w:rPr>
            </w:pPr>
            <w:r>
              <w:rPr>
                <w:rFonts w:ascii="Arial" w:cs="Arial" w:eastAsia="Arial" w:hAnsi="Arial"/>
                <w:sz w:val="18"/>
                <w:szCs w:val="18"/>
                <w:color w:val="auto"/>
              </w:rPr>
              <w:t>Provisions</w:t>
            </w:r>
          </w:p>
        </w:tc>
        <w:tc>
          <w:tcPr>
            <w:tcW w:w="9660" w:type="dxa"/>
            <w:vAlign w:val="bottom"/>
          </w:tcPr>
          <w:p>
            <w:pPr>
              <w:ind w:left="120"/>
              <w:spacing w:after="0"/>
              <w:rPr>
                <w:sz w:val="20"/>
                <w:szCs w:val="20"/>
                <w:color w:val="auto"/>
              </w:rPr>
            </w:pPr>
            <w:r>
              <w:rPr>
                <w:rFonts w:ascii="Arial" w:cs="Arial" w:eastAsia="Arial" w:hAnsi="Arial"/>
                <w:sz w:val="18"/>
                <w:szCs w:val="18"/>
                <w:color w:val="auto"/>
              </w:rPr>
              <w:t>executive officers include similar double-trigger vesting provisions.</w:t>
            </w:r>
          </w:p>
        </w:tc>
        <w:tc>
          <w:tcPr>
            <w:tcW w:w="0" w:type="dxa"/>
            <w:vAlign w:val="bottom"/>
          </w:tcPr>
          <w:p>
            <w:pPr>
              <w:spacing w:after="0"/>
              <w:rPr>
                <w:sz w:val="1"/>
                <w:szCs w:val="1"/>
                <w:color w:val="auto"/>
              </w:rPr>
            </w:pPr>
          </w:p>
        </w:tc>
      </w:tr>
      <w:tr>
        <w:trPr>
          <w:trHeight w:val="203"/>
        </w:trPr>
        <w:tc>
          <w:tcPr>
            <w:tcW w:w="1580" w:type="dxa"/>
            <w:vAlign w:val="bottom"/>
            <w:shd w:val="clear" w:color="auto" w:fill="0E78A9"/>
          </w:tcPr>
          <w:p>
            <w:pPr>
              <w:spacing w:after="0"/>
              <w:rPr>
                <w:sz w:val="17"/>
                <w:szCs w:val="17"/>
                <w:color w:val="auto"/>
              </w:rPr>
            </w:pP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E5E6E6"/>
            </w:tcBorders>
          </w:tcPr>
          <w:p>
            <w:pPr>
              <w:spacing w:after="0"/>
              <w:rPr>
                <w:sz w:val="7"/>
                <w:szCs w:val="7"/>
                <w:color w:val="auto"/>
              </w:rPr>
            </w:pPr>
          </w:p>
        </w:tc>
        <w:tc>
          <w:tcPr>
            <w:tcW w:w="9660" w:type="dxa"/>
            <w:vAlign w:val="bottom"/>
            <w:tcBorders>
              <w:bottom w:val="single" w:sz="8" w:color="E5E6E6"/>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1580" w:type="dxa"/>
            <w:vAlign w:val="bottom"/>
            <w:shd w:val="clear" w:color="auto" w:fill="459CC7"/>
          </w:tcPr>
          <w:p>
            <w:pPr>
              <w:jc w:val="center"/>
              <w:spacing w:after="0"/>
              <w:rPr>
                <w:sz w:val="20"/>
                <w:szCs w:val="20"/>
                <w:color w:val="auto"/>
              </w:rPr>
            </w:pPr>
            <w:r>
              <w:rPr>
                <w:rFonts w:ascii="Arial" w:cs="Arial" w:eastAsia="Arial" w:hAnsi="Arial"/>
                <w:sz w:val="18"/>
                <w:szCs w:val="18"/>
                <w:color w:val="auto"/>
                <w:w w:val="98"/>
              </w:rPr>
              <w:t>United Share</w:t>
            </w:r>
          </w:p>
        </w:tc>
        <w:tc>
          <w:tcPr>
            <w:tcW w:w="9660" w:type="dxa"/>
            <w:vAlign w:val="bottom"/>
            <w:vMerge w:val="restart"/>
          </w:tcPr>
          <w:p>
            <w:pPr>
              <w:ind w:left="120"/>
              <w:spacing w:after="0"/>
              <w:rPr>
                <w:sz w:val="20"/>
                <w:szCs w:val="20"/>
                <w:color w:val="auto"/>
              </w:rPr>
            </w:pPr>
            <w:r>
              <w:rPr>
                <w:rFonts w:ascii="Arial" w:cs="Arial" w:eastAsia="Arial" w:hAnsi="Arial"/>
                <w:sz w:val="18"/>
                <w:szCs w:val="18"/>
                <w:color w:val="auto"/>
              </w:rPr>
              <w:t>We have robust share ownership guidelines for our executive officers to align the interests of our executive officers with</w:t>
            </w:r>
          </w:p>
        </w:tc>
        <w:tc>
          <w:tcPr>
            <w:tcW w:w="0" w:type="dxa"/>
            <w:vAlign w:val="bottom"/>
          </w:tcPr>
          <w:p>
            <w:pPr>
              <w:spacing w:after="0"/>
              <w:rPr>
                <w:sz w:val="1"/>
                <w:szCs w:val="1"/>
                <w:color w:val="auto"/>
              </w:rPr>
            </w:pPr>
          </w:p>
        </w:tc>
      </w:tr>
      <w:tr>
        <w:trPr>
          <w:trHeight w:val="94"/>
        </w:trPr>
        <w:tc>
          <w:tcPr>
            <w:tcW w:w="1580" w:type="dxa"/>
            <w:vAlign w:val="bottom"/>
            <w:vMerge w:val="restart"/>
            <w:shd w:val="clear" w:color="auto" w:fill="459CC7"/>
          </w:tcPr>
          <w:p>
            <w:pPr>
              <w:jc w:val="center"/>
              <w:spacing w:after="0" w:line="202" w:lineRule="exact"/>
              <w:rPr>
                <w:sz w:val="20"/>
                <w:szCs w:val="20"/>
                <w:color w:val="auto"/>
              </w:rPr>
            </w:pPr>
            <w:r>
              <w:rPr>
                <w:rFonts w:ascii="Arial" w:cs="Arial" w:eastAsia="Arial" w:hAnsi="Arial"/>
                <w:sz w:val="18"/>
                <w:szCs w:val="18"/>
                <w:color w:val="auto"/>
                <w:w w:val="99"/>
              </w:rPr>
              <w:t>Ownership</w:t>
            </w:r>
          </w:p>
        </w:tc>
        <w:tc>
          <w:tcPr>
            <w:tcW w:w="9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shd w:val="clear" w:color="auto" w:fill="459CC7"/>
          </w:tcPr>
          <w:p>
            <w:pPr>
              <w:spacing w:after="0"/>
              <w:rPr>
                <w:sz w:val="9"/>
                <w:szCs w:val="9"/>
                <w:color w:val="auto"/>
              </w:rPr>
            </w:pPr>
          </w:p>
        </w:tc>
        <w:tc>
          <w:tcPr>
            <w:tcW w:w="9660" w:type="dxa"/>
            <w:vAlign w:val="bottom"/>
            <w:vMerge w:val="restart"/>
          </w:tcPr>
          <w:p>
            <w:pPr>
              <w:ind w:left="120"/>
              <w:spacing w:after="0"/>
              <w:rPr>
                <w:sz w:val="20"/>
                <w:szCs w:val="20"/>
                <w:color w:val="auto"/>
              </w:rPr>
            </w:pPr>
            <w:r>
              <w:rPr>
                <w:rFonts w:ascii="Arial" w:cs="Arial" w:eastAsia="Arial" w:hAnsi="Arial"/>
                <w:sz w:val="18"/>
                <w:szCs w:val="18"/>
                <w:color w:val="auto"/>
              </w:rPr>
              <w:t>those of our shareholders.</w:t>
            </w:r>
          </w:p>
        </w:tc>
        <w:tc>
          <w:tcPr>
            <w:tcW w:w="0" w:type="dxa"/>
            <w:vAlign w:val="bottom"/>
          </w:tcPr>
          <w:p>
            <w:pPr>
              <w:spacing w:after="0"/>
              <w:rPr>
                <w:sz w:val="1"/>
                <w:szCs w:val="1"/>
                <w:color w:val="auto"/>
              </w:rPr>
            </w:pPr>
          </w:p>
        </w:tc>
      </w:tr>
      <w:tr>
        <w:trPr>
          <w:trHeight w:val="109"/>
        </w:trPr>
        <w:tc>
          <w:tcPr>
            <w:tcW w:w="1580" w:type="dxa"/>
            <w:vAlign w:val="bottom"/>
            <w:vMerge w:val="restart"/>
            <w:shd w:val="clear" w:color="auto" w:fill="459CC7"/>
          </w:tcPr>
          <w:p>
            <w:pPr>
              <w:jc w:val="center"/>
              <w:spacing w:after="0"/>
              <w:rPr>
                <w:sz w:val="20"/>
                <w:szCs w:val="20"/>
                <w:color w:val="auto"/>
              </w:rPr>
            </w:pPr>
            <w:r>
              <w:rPr>
                <w:rFonts w:ascii="Arial" w:cs="Arial" w:eastAsia="Arial" w:hAnsi="Arial"/>
                <w:sz w:val="18"/>
                <w:szCs w:val="18"/>
                <w:color w:val="auto"/>
                <w:w w:val="98"/>
              </w:rPr>
              <w:t>Guidelines</w:t>
            </w:r>
          </w:p>
        </w:tc>
        <w:tc>
          <w:tcPr>
            <w:tcW w:w="9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shd w:val="clear" w:color="auto" w:fill="459CC7"/>
          </w:tcPr>
          <w:p>
            <w:pPr>
              <w:spacing w:after="0"/>
              <w:rPr>
                <w:sz w:val="9"/>
                <w:szCs w:val="9"/>
                <w:color w:val="auto"/>
              </w:rPr>
            </w:pPr>
          </w:p>
        </w:tc>
        <w:tc>
          <w:tcPr>
            <w:tcW w:w="9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459CC7"/>
          </w:tcPr>
          <w:p>
            <w:pPr>
              <w:spacing w:after="0"/>
              <w:rPr>
                <w:sz w:val="17"/>
                <w:szCs w:val="17"/>
                <w:color w:val="auto"/>
              </w:rPr>
            </w:pP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E5E6E6"/>
            </w:tcBorders>
          </w:tcPr>
          <w:p>
            <w:pPr>
              <w:spacing w:after="0"/>
              <w:rPr>
                <w:sz w:val="7"/>
                <w:szCs w:val="7"/>
                <w:color w:val="auto"/>
              </w:rPr>
            </w:pPr>
          </w:p>
        </w:tc>
        <w:tc>
          <w:tcPr>
            <w:tcW w:w="9660" w:type="dxa"/>
            <w:vAlign w:val="bottom"/>
            <w:tcBorders>
              <w:bottom w:val="single" w:sz="8" w:color="E5E6E6"/>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58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1580" w:type="dxa"/>
            <w:vAlign w:val="bottom"/>
            <w:shd w:val="clear" w:color="auto" w:fill="6FC6EA"/>
          </w:tcPr>
          <w:p>
            <w:pPr>
              <w:jc w:val="center"/>
              <w:spacing w:after="0"/>
              <w:rPr>
                <w:sz w:val="20"/>
                <w:szCs w:val="20"/>
                <w:color w:val="auto"/>
              </w:rPr>
            </w:pPr>
            <w:r>
              <w:rPr>
                <w:rFonts w:ascii="Arial" w:cs="Arial" w:eastAsia="Arial" w:hAnsi="Arial"/>
                <w:sz w:val="18"/>
                <w:szCs w:val="18"/>
                <w:color w:val="auto"/>
              </w:rPr>
              <w:t>Clawback Policy</w:t>
            </w:r>
          </w:p>
        </w:tc>
        <w:tc>
          <w:tcPr>
            <w:tcW w:w="9660" w:type="dxa"/>
            <w:vAlign w:val="bottom"/>
          </w:tcPr>
          <w:p>
            <w:pPr>
              <w:ind w:left="120"/>
              <w:spacing w:after="0"/>
              <w:rPr>
                <w:sz w:val="20"/>
                <w:szCs w:val="20"/>
                <w:color w:val="auto"/>
              </w:rPr>
            </w:pPr>
            <w:r>
              <w:rPr>
                <w:rFonts w:ascii="Arial" w:cs="Arial" w:eastAsia="Arial" w:hAnsi="Arial"/>
                <w:sz w:val="18"/>
                <w:szCs w:val="18"/>
                <w:color w:val="auto"/>
              </w:rPr>
              <w:t>Our Board has adopted a policy relating to the clawback of incentive compensation paid to our executive officers in the</w:t>
            </w:r>
          </w:p>
        </w:tc>
        <w:tc>
          <w:tcPr>
            <w:tcW w:w="0" w:type="dxa"/>
            <w:vAlign w:val="bottom"/>
          </w:tcPr>
          <w:p>
            <w:pPr>
              <w:spacing w:after="0"/>
              <w:rPr>
                <w:sz w:val="1"/>
                <w:szCs w:val="1"/>
                <w:color w:val="auto"/>
              </w:rPr>
            </w:pPr>
          </w:p>
        </w:tc>
      </w:tr>
      <w:tr>
        <w:trPr>
          <w:trHeight w:val="217"/>
        </w:trPr>
        <w:tc>
          <w:tcPr>
            <w:tcW w:w="1580" w:type="dxa"/>
            <w:vAlign w:val="bottom"/>
            <w:shd w:val="clear" w:color="auto" w:fill="6FC6EA"/>
          </w:tcPr>
          <w:p>
            <w:pPr>
              <w:spacing w:after="0"/>
              <w:rPr>
                <w:sz w:val="18"/>
                <w:szCs w:val="18"/>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event of certain restatements of our financial statements.</w:t>
            </w:r>
          </w:p>
        </w:tc>
        <w:tc>
          <w:tcPr>
            <w:tcW w:w="0" w:type="dxa"/>
            <w:vAlign w:val="bottom"/>
          </w:tcPr>
          <w:p>
            <w:pPr>
              <w:spacing w:after="0"/>
              <w:rPr>
                <w:sz w:val="1"/>
                <w:szCs w:val="1"/>
                <w:color w:val="auto"/>
              </w:rPr>
            </w:pPr>
          </w:p>
        </w:tc>
      </w:tr>
      <w:tr>
        <w:trPr>
          <w:trHeight w:val="203"/>
        </w:trPr>
        <w:tc>
          <w:tcPr>
            <w:tcW w:w="1580" w:type="dxa"/>
            <w:vAlign w:val="bottom"/>
            <w:shd w:val="clear" w:color="auto" w:fill="6FC6EA"/>
          </w:tcPr>
          <w:p>
            <w:pPr>
              <w:spacing w:after="0"/>
              <w:rPr>
                <w:sz w:val="17"/>
                <w:szCs w:val="17"/>
                <w:color w:val="auto"/>
              </w:rPr>
            </w:pP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E5E6E6"/>
            </w:tcBorders>
          </w:tcPr>
          <w:p>
            <w:pPr>
              <w:spacing w:after="0"/>
              <w:rPr>
                <w:sz w:val="7"/>
                <w:szCs w:val="7"/>
                <w:color w:val="auto"/>
              </w:rPr>
            </w:pPr>
          </w:p>
        </w:tc>
        <w:tc>
          <w:tcPr>
            <w:tcW w:w="9660" w:type="dxa"/>
            <w:vAlign w:val="bottom"/>
            <w:tcBorders>
              <w:bottom w:val="single" w:sz="8" w:color="E5E6E6"/>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1580" w:type="dxa"/>
            <w:vAlign w:val="bottom"/>
            <w:shd w:val="clear" w:color="auto" w:fill="6FC6EA"/>
          </w:tcPr>
          <w:p>
            <w:pPr>
              <w:jc w:val="center"/>
              <w:spacing w:after="0"/>
              <w:rPr>
                <w:sz w:val="20"/>
                <w:szCs w:val="20"/>
                <w:color w:val="auto"/>
              </w:rPr>
            </w:pPr>
            <w:r>
              <w:rPr>
                <w:rFonts w:ascii="Arial" w:cs="Arial" w:eastAsia="Arial" w:hAnsi="Arial"/>
                <w:sz w:val="18"/>
                <w:szCs w:val="18"/>
                <w:color w:val="auto"/>
                <w:w w:val="99"/>
              </w:rPr>
              <w:t>Annual</w:t>
            </w:r>
          </w:p>
        </w:tc>
        <w:tc>
          <w:tcPr>
            <w:tcW w:w="9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6FC6EA"/>
          </w:tcPr>
          <w:p>
            <w:pPr>
              <w:jc w:val="center"/>
              <w:spacing w:after="0" w:line="202" w:lineRule="exact"/>
              <w:rPr>
                <w:sz w:val="20"/>
                <w:szCs w:val="20"/>
                <w:color w:val="auto"/>
              </w:rPr>
            </w:pPr>
            <w:r>
              <w:rPr>
                <w:rFonts w:ascii="Arial" w:cs="Arial" w:eastAsia="Arial" w:hAnsi="Arial"/>
                <w:sz w:val="18"/>
                <w:szCs w:val="18"/>
                <w:color w:val="auto"/>
                <w:w w:val="99"/>
              </w:rPr>
              <w:t>Compensation Risk</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Our Talent and Compensation Committee assesses the risk of our compensation program at least annually.</w:t>
            </w:r>
          </w:p>
        </w:tc>
        <w:tc>
          <w:tcPr>
            <w:tcW w:w="0" w:type="dxa"/>
            <w:vAlign w:val="bottom"/>
          </w:tcPr>
          <w:p>
            <w:pPr>
              <w:spacing w:after="0"/>
              <w:rPr>
                <w:sz w:val="1"/>
                <w:szCs w:val="1"/>
                <w:color w:val="auto"/>
              </w:rPr>
            </w:pPr>
          </w:p>
        </w:tc>
      </w:tr>
      <w:tr>
        <w:trPr>
          <w:trHeight w:val="217"/>
        </w:trPr>
        <w:tc>
          <w:tcPr>
            <w:tcW w:w="1580" w:type="dxa"/>
            <w:vAlign w:val="bottom"/>
            <w:shd w:val="clear" w:color="auto" w:fill="6FC6EA"/>
          </w:tcPr>
          <w:p>
            <w:pPr>
              <w:jc w:val="center"/>
              <w:spacing w:after="0"/>
              <w:rPr>
                <w:sz w:val="20"/>
                <w:szCs w:val="20"/>
                <w:color w:val="auto"/>
              </w:rPr>
            </w:pPr>
            <w:r>
              <w:rPr>
                <w:rFonts w:ascii="Arial" w:cs="Arial" w:eastAsia="Arial" w:hAnsi="Arial"/>
                <w:sz w:val="18"/>
                <w:szCs w:val="18"/>
                <w:color w:val="auto"/>
                <w:w w:val="99"/>
              </w:rPr>
              <w:t>Assessment</w:t>
            </w: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80" w:type="dxa"/>
            <w:vAlign w:val="bottom"/>
            <w:shd w:val="clear" w:color="auto" w:fill="6FC6EA"/>
          </w:tcPr>
          <w:p>
            <w:pPr>
              <w:spacing w:after="0"/>
              <w:rPr>
                <w:sz w:val="17"/>
                <w:szCs w:val="17"/>
                <w:color w:val="auto"/>
              </w:rPr>
            </w:pP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80" w:type="dxa"/>
            <w:vAlign w:val="bottom"/>
            <w:tcBorders>
              <w:bottom w:val="single" w:sz="8" w:color="E5E6E6"/>
            </w:tcBorders>
          </w:tcPr>
          <w:p>
            <w:pPr>
              <w:spacing w:after="0"/>
              <w:rPr>
                <w:sz w:val="21"/>
                <w:szCs w:val="21"/>
                <w:color w:val="auto"/>
              </w:rPr>
            </w:pPr>
          </w:p>
        </w:tc>
        <w:tc>
          <w:tcPr>
            <w:tcW w:w="9660" w:type="dxa"/>
            <w:vAlign w:val="bottom"/>
            <w:tcBorders>
              <w:bottom w:val="single" w:sz="8" w:color="E5E6E6"/>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What We Don’t Do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1580" w:type="dxa"/>
            <w:vAlign w:val="bottom"/>
            <w:shd w:val="clear" w:color="auto" w:fill="285A84"/>
          </w:tcPr>
          <w:p>
            <w:pPr>
              <w:jc w:val="center"/>
              <w:spacing w:after="0"/>
              <w:rPr>
                <w:sz w:val="20"/>
                <w:szCs w:val="20"/>
                <w:color w:val="auto"/>
              </w:rPr>
            </w:pPr>
            <w:r>
              <w:rPr>
                <w:rFonts w:ascii="Arial" w:cs="Arial" w:eastAsia="Arial" w:hAnsi="Arial"/>
                <w:sz w:val="18"/>
                <w:szCs w:val="18"/>
                <w:color w:val="FFFFFF"/>
                <w:w w:val="99"/>
              </w:rPr>
              <w:t>No Tax Gross-Ups</w:t>
            </w:r>
          </w:p>
        </w:tc>
        <w:tc>
          <w:tcPr>
            <w:tcW w:w="9660" w:type="dxa"/>
            <w:vAlign w:val="bottom"/>
          </w:tcPr>
          <w:p>
            <w:pPr>
              <w:ind w:left="120"/>
              <w:spacing w:after="0"/>
              <w:rPr>
                <w:sz w:val="20"/>
                <w:szCs w:val="20"/>
                <w:color w:val="auto"/>
              </w:rPr>
            </w:pPr>
            <w:r>
              <w:rPr>
                <w:rFonts w:ascii="Arial" w:cs="Arial" w:eastAsia="Arial" w:hAnsi="Arial"/>
                <w:sz w:val="18"/>
                <w:szCs w:val="18"/>
                <w:color w:val="auto"/>
              </w:rPr>
              <w:t>We do not provide any tax gross-ups.</w:t>
            </w:r>
          </w:p>
        </w:tc>
        <w:tc>
          <w:tcPr>
            <w:tcW w:w="0" w:type="dxa"/>
            <w:vAlign w:val="bottom"/>
          </w:tcPr>
          <w:p>
            <w:pPr>
              <w:spacing w:after="0"/>
              <w:rPr>
                <w:sz w:val="1"/>
                <w:szCs w:val="1"/>
                <w:color w:val="auto"/>
              </w:rPr>
            </w:pPr>
          </w:p>
        </w:tc>
      </w:tr>
      <w:tr>
        <w:trPr>
          <w:trHeight w:val="203"/>
        </w:trPr>
        <w:tc>
          <w:tcPr>
            <w:tcW w:w="1580" w:type="dxa"/>
            <w:vAlign w:val="bottom"/>
            <w:shd w:val="clear" w:color="auto" w:fill="285A84"/>
          </w:tcPr>
          <w:p>
            <w:pPr>
              <w:spacing w:after="0"/>
              <w:rPr>
                <w:sz w:val="17"/>
                <w:szCs w:val="17"/>
                <w:color w:val="auto"/>
              </w:rPr>
            </w:pP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E5E6E6"/>
            </w:tcBorders>
          </w:tcPr>
          <w:p>
            <w:pPr>
              <w:spacing w:after="0"/>
              <w:rPr>
                <w:sz w:val="7"/>
                <w:szCs w:val="7"/>
                <w:color w:val="auto"/>
              </w:rPr>
            </w:pPr>
          </w:p>
        </w:tc>
        <w:tc>
          <w:tcPr>
            <w:tcW w:w="9660" w:type="dxa"/>
            <w:vAlign w:val="bottom"/>
            <w:tcBorders>
              <w:bottom w:val="single" w:sz="8" w:color="E5E6E6"/>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1580" w:type="dxa"/>
            <w:vAlign w:val="bottom"/>
            <w:shd w:val="clear" w:color="auto" w:fill="0E78A9"/>
          </w:tcPr>
          <w:p>
            <w:pPr>
              <w:jc w:val="center"/>
              <w:spacing w:after="0"/>
              <w:rPr>
                <w:sz w:val="20"/>
                <w:szCs w:val="20"/>
                <w:color w:val="auto"/>
              </w:rPr>
            </w:pPr>
            <w:r>
              <w:rPr>
                <w:rFonts w:ascii="Arial" w:cs="Arial" w:eastAsia="Arial" w:hAnsi="Arial"/>
                <w:sz w:val="18"/>
                <w:szCs w:val="18"/>
                <w:color w:val="FFFFFF"/>
                <w:w w:val="99"/>
              </w:rPr>
              <w:t>No Hedging or</w:t>
            </w:r>
          </w:p>
        </w:tc>
        <w:tc>
          <w:tcPr>
            <w:tcW w:w="9660" w:type="dxa"/>
            <w:vAlign w:val="bottom"/>
            <w:vMerge w:val="restart"/>
          </w:tcPr>
          <w:p>
            <w:pPr>
              <w:ind w:left="120"/>
              <w:spacing w:after="0"/>
              <w:rPr>
                <w:sz w:val="20"/>
                <w:szCs w:val="20"/>
                <w:color w:val="auto"/>
              </w:rPr>
            </w:pPr>
            <w:r>
              <w:rPr>
                <w:rFonts w:ascii="Arial" w:cs="Arial" w:eastAsia="Arial" w:hAnsi="Arial"/>
                <w:sz w:val="18"/>
                <w:szCs w:val="18"/>
                <w:color w:val="auto"/>
              </w:rPr>
              <w:t>We have a policy that prohibits our directors, officers and employees from engaging in short sales, trading in puts, calls</w:t>
            </w:r>
          </w:p>
        </w:tc>
        <w:tc>
          <w:tcPr>
            <w:tcW w:w="0" w:type="dxa"/>
            <w:vAlign w:val="bottom"/>
          </w:tcPr>
          <w:p>
            <w:pPr>
              <w:spacing w:after="0"/>
              <w:rPr>
                <w:sz w:val="1"/>
                <w:szCs w:val="1"/>
                <w:color w:val="auto"/>
              </w:rPr>
            </w:pPr>
          </w:p>
        </w:tc>
      </w:tr>
      <w:tr>
        <w:trPr>
          <w:trHeight w:val="95"/>
        </w:trPr>
        <w:tc>
          <w:tcPr>
            <w:tcW w:w="1580" w:type="dxa"/>
            <w:vAlign w:val="bottom"/>
            <w:vMerge w:val="restart"/>
            <w:shd w:val="clear" w:color="auto" w:fill="0E78A9"/>
          </w:tcPr>
          <w:p>
            <w:pPr>
              <w:jc w:val="center"/>
              <w:spacing w:after="0"/>
              <w:rPr>
                <w:sz w:val="20"/>
                <w:szCs w:val="20"/>
                <w:color w:val="auto"/>
              </w:rPr>
            </w:pPr>
            <w:r>
              <w:rPr>
                <w:rFonts w:ascii="Arial" w:cs="Arial" w:eastAsia="Arial" w:hAnsi="Arial"/>
                <w:sz w:val="18"/>
                <w:szCs w:val="18"/>
                <w:color w:val="FFFFFF"/>
              </w:rPr>
              <w:t>Pledging of United</w:t>
            </w:r>
          </w:p>
        </w:tc>
        <w:tc>
          <w:tcPr>
            <w:tcW w:w="9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580" w:type="dxa"/>
            <w:vAlign w:val="bottom"/>
            <w:vMerge w:val="continue"/>
            <w:shd w:val="clear" w:color="auto" w:fill="0E78A9"/>
          </w:tcPr>
          <w:p>
            <w:pPr>
              <w:spacing w:after="0"/>
              <w:rPr>
                <w:sz w:val="14"/>
                <w:szCs w:val="14"/>
                <w:color w:val="auto"/>
              </w:rPr>
            </w:pPr>
          </w:p>
        </w:tc>
        <w:tc>
          <w:tcPr>
            <w:tcW w:w="9660" w:type="dxa"/>
            <w:vAlign w:val="bottom"/>
          </w:tcPr>
          <w:p>
            <w:pPr>
              <w:ind w:left="120"/>
              <w:spacing w:after="0" w:line="163" w:lineRule="exact"/>
              <w:rPr>
                <w:sz w:val="20"/>
                <w:szCs w:val="20"/>
                <w:color w:val="auto"/>
              </w:rPr>
            </w:pPr>
            <w:r>
              <w:rPr>
                <w:rFonts w:ascii="Arial" w:cs="Arial" w:eastAsia="Arial" w:hAnsi="Arial"/>
                <w:sz w:val="18"/>
                <w:szCs w:val="18"/>
                <w:color w:val="auto"/>
              </w:rPr>
              <w:t>and other options or derivatives with respect to our stock and hedging our stock.</w:t>
            </w:r>
          </w:p>
        </w:tc>
        <w:tc>
          <w:tcPr>
            <w:tcW w:w="0" w:type="dxa"/>
            <w:vAlign w:val="bottom"/>
          </w:tcPr>
          <w:p>
            <w:pPr>
              <w:spacing w:after="0"/>
              <w:rPr>
                <w:sz w:val="1"/>
                <w:szCs w:val="1"/>
                <w:color w:val="auto"/>
              </w:rPr>
            </w:pPr>
          </w:p>
        </w:tc>
      </w:tr>
      <w:tr>
        <w:trPr>
          <w:trHeight w:val="217"/>
        </w:trPr>
        <w:tc>
          <w:tcPr>
            <w:tcW w:w="1580" w:type="dxa"/>
            <w:vAlign w:val="bottom"/>
            <w:shd w:val="clear" w:color="auto" w:fill="0E78A9"/>
          </w:tcPr>
          <w:p>
            <w:pPr>
              <w:jc w:val="center"/>
              <w:spacing w:after="0"/>
              <w:rPr>
                <w:sz w:val="20"/>
                <w:szCs w:val="20"/>
                <w:color w:val="auto"/>
              </w:rPr>
            </w:pPr>
            <w:r>
              <w:rPr>
                <w:rFonts w:ascii="Arial" w:cs="Arial" w:eastAsia="Arial" w:hAnsi="Arial"/>
                <w:sz w:val="18"/>
                <w:szCs w:val="18"/>
                <w:color w:val="FFFFFF"/>
                <w:w w:val="97"/>
              </w:rPr>
              <w:t>Stock</w:t>
            </w: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0E78A9"/>
          </w:tcPr>
          <w:p>
            <w:pPr>
              <w:spacing w:after="0"/>
              <w:rPr>
                <w:sz w:val="12"/>
                <w:szCs w:val="12"/>
                <w:color w:val="auto"/>
              </w:rPr>
            </w:pPr>
          </w:p>
        </w:tc>
        <w:tc>
          <w:tcPr>
            <w:tcW w:w="9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E5E6E6"/>
            </w:tcBorders>
          </w:tcPr>
          <w:p>
            <w:pPr>
              <w:spacing w:after="0"/>
              <w:rPr>
                <w:sz w:val="7"/>
                <w:szCs w:val="7"/>
                <w:color w:val="auto"/>
              </w:rPr>
            </w:pPr>
          </w:p>
        </w:tc>
        <w:tc>
          <w:tcPr>
            <w:tcW w:w="9660" w:type="dxa"/>
            <w:vAlign w:val="bottom"/>
            <w:tcBorders>
              <w:bottom w:val="single" w:sz="8" w:color="E5E6E6"/>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580" w:type="dxa"/>
            <w:vAlign w:val="bottom"/>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1580" w:type="dxa"/>
            <w:vAlign w:val="bottom"/>
            <w:shd w:val="clear" w:color="auto" w:fill="459CC7"/>
          </w:tcPr>
          <w:p>
            <w:pPr>
              <w:jc w:val="center"/>
              <w:spacing w:after="0"/>
              <w:rPr>
                <w:sz w:val="20"/>
                <w:szCs w:val="20"/>
                <w:color w:val="auto"/>
              </w:rPr>
            </w:pPr>
            <w:r>
              <w:rPr>
                <w:rFonts w:ascii="Arial" w:cs="Arial" w:eastAsia="Arial" w:hAnsi="Arial"/>
                <w:sz w:val="18"/>
                <w:szCs w:val="18"/>
                <w:color w:val="FFFFFF"/>
                <w:w w:val="99"/>
              </w:rPr>
              <w:t>No Repricing of</w:t>
            </w:r>
          </w:p>
        </w:tc>
        <w:tc>
          <w:tcPr>
            <w:tcW w:w="9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459CC7"/>
          </w:tcPr>
          <w:p>
            <w:pPr>
              <w:jc w:val="center"/>
              <w:spacing w:after="0" w:line="202" w:lineRule="exact"/>
              <w:rPr>
                <w:sz w:val="20"/>
                <w:szCs w:val="20"/>
                <w:color w:val="auto"/>
              </w:rPr>
            </w:pPr>
            <w:r>
              <w:rPr>
                <w:rFonts w:ascii="Arial" w:cs="Arial" w:eastAsia="Arial" w:hAnsi="Arial"/>
                <w:sz w:val="18"/>
                <w:szCs w:val="18"/>
                <w:color w:val="FFFFFF"/>
                <w:w w:val="99"/>
              </w:rPr>
              <w:t>Stock Options</w:t>
            </w: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459CC7"/>
          </w:tcPr>
          <w:p>
            <w:pPr>
              <w:jc w:val="center"/>
              <w:spacing w:after="0" w:line="202" w:lineRule="exact"/>
              <w:rPr>
                <w:sz w:val="20"/>
                <w:szCs w:val="20"/>
                <w:color w:val="auto"/>
              </w:rPr>
            </w:pPr>
            <w:r>
              <w:rPr>
                <w:rFonts w:ascii="Arial" w:cs="Arial" w:eastAsia="Arial" w:hAnsi="Arial"/>
                <w:sz w:val="18"/>
                <w:szCs w:val="18"/>
                <w:color w:val="FFFFFF"/>
                <w:w w:val="98"/>
              </w:rPr>
              <w:t>Without</w:t>
            </w:r>
          </w:p>
        </w:tc>
        <w:tc>
          <w:tcPr>
            <w:tcW w:w="9660" w:type="dxa"/>
            <w:vAlign w:val="bottom"/>
          </w:tcPr>
          <w:p>
            <w:pPr>
              <w:ind w:left="120"/>
              <w:spacing w:after="0" w:line="202" w:lineRule="exact"/>
              <w:rPr>
                <w:sz w:val="20"/>
                <w:szCs w:val="20"/>
                <w:color w:val="auto"/>
              </w:rPr>
            </w:pPr>
            <w:r>
              <w:rPr>
                <w:rFonts w:ascii="Arial" w:cs="Arial" w:eastAsia="Arial" w:hAnsi="Arial"/>
                <w:sz w:val="18"/>
                <w:szCs w:val="18"/>
                <w:color w:val="auto"/>
              </w:rPr>
              <w:t>Our Key Employee Stock Option Plan prohibits repricing without shareholder approval.</w:t>
            </w:r>
          </w:p>
        </w:tc>
        <w:tc>
          <w:tcPr>
            <w:tcW w:w="0" w:type="dxa"/>
            <w:vAlign w:val="bottom"/>
          </w:tcPr>
          <w:p>
            <w:pPr>
              <w:spacing w:after="0"/>
              <w:rPr>
                <w:sz w:val="1"/>
                <w:szCs w:val="1"/>
                <w:color w:val="auto"/>
              </w:rPr>
            </w:pPr>
          </w:p>
        </w:tc>
      </w:tr>
      <w:tr>
        <w:trPr>
          <w:trHeight w:val="203"/>
        </w:trPr>
        <w:tc>
          <w:tcPr>
            <w:tcW w:w="1580" w:type="dxa"/>
            <w:vAlign w:val="bottom"/>
            <w:shd w:val="clear" w:color="auto" w:fill="459CC7"/>
          </w:tcPr>
          <w:p>
            <w:pPr>
              <w:jc w:val="center"/>
              <w:spacing w:after="0" w:line="202" w:lineRule="exact"/>
              <w:rPr>
                <w:sz w:val="20"/>
                <w:szCs w:val="20"/>
                <w:color w:val="auto"/>
              </w:rPr>
            </w:pPr>
            <w:r>
              <w:rPr>
                <w:rFonts w:ascii="Arial" w:cs="Arial" w:eastAsia="Arial" w:hAnsi="Arial"/>
                <w:sz w:val="18"/>
                <w:szCs w:val="18"/>
                <w:color w:val="FFFFFF"/>
                <w:w w:val="99"/>
              </w:rPr>
              <w:t>Shareholder</w:t>
            </w: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80" w:type="dxa"/>
            <w:vAlign w:val="bottom"/>
            <w:shd w:val="clear" w:color="auto" w:fill="459CC7"/>
          </w:tcPr>
          <w:p>
            <w:pPr>
              <w:jc w:val="center"/>
              <w:spacing w:after="0"/>
              <w:rPr>
                <w:sz w:val="20"/>
                <w:szCs w:val="20"/>
                <w:color w:val="auto"/>
              </w:rPr>
            </w:pPr>
            <w:r>
              <w:rPr>
                <w:rFonts w:ascii="Arial" w:cs="Arial" w:eastAsia="Arial" w:hAnsi="Arial"/>
                <w:sz w:val="18"/>
                <w:szCs w:val="18"/>
                <w:color w:val="FFFFFF"/>
              </w:rPr>
              <w:t>Approval</w:t>
            </w: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459CC7"/>
          </w:tcPr>
          <w:p>
            <w:pPr>
              <w:spacing w:after="0"/>
              <w:rPr>
                <w:sz w:val="17"/>
                <w:szCs w:val="17"/>
                <w:color w:val="auto"/>
              </w:rPr>
            </w:pP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80" w:type="dxa"/>
            <w:vAlign w:val="bottom"/>
            <w:tcBorders>
              <w:bottom w:val="single" w:sz="8" w:color="E5E6E6"/>
            </w:tcBorders>
          </w:tcPr>
          <w:p>
            <w:pPr>
              <w:spacing w:after="0"/>
              <w:rPr>
                <w:sz w:val="19"/>
                <w:szCs w:val="19"/>
                <w:color w:val="auto"/>
              </w:rPr>
            </w:pPr>
          </w:p>
        </w:tc>
        <w:tc>
          <w:tcPr>
            <w:tcW w:w="9660" w:type="dxa"/>
            <w:vAlign w:val="bottom"/>
            <w:tcBorders>
              <w:bottom w:val="single" w:sz="8" w:color="E5E6E6"/>
            </w:tcBorders>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1580" w:type="dxa"/>
            <w:vAlign w:val="bottom"/>
          </w:tcPr>
          <w:p>
            <w:pPr>
              <w:spacing w:after="0"/>
              <w:rPr>
                <w:sz w:val="24"/>
                <w:szCs w:val="24"/>
                <w:color w:val="auto"/>
              </w:rPr>
            </w:pPr>
          </w:p>
        </w:tc>
        <w:tc>
          <w:tcPr>
            <w:tcW w:w="9660" w:type="dxa"/>
            <w:vAlign w:val="bottom"/>
          </w:tcPr>
          <w:p>
            <w:pPr>
              <w:ind w:left="946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48"/>
        </w:trPr>
        <w:tc>
          <w:tcPr>
            <w:tcW w:w="1580" w:type="dxa"/>
            <w:vAlign w:val="bottom"/>
            <w:tcBorders>
              <w:bottom w:val="single" w:sz="8" w:color="auto"/>
            </w:tcBorders>
          </w:tcPr>
          <w:p>
            <w:pPr>
              <w:spacing w:after="0"/>
              <w:rPr>
                <w:sz w:val="4"/>
                <w:szCs w:val="4"/>
                <w:color w:val="auto"/>
              </w:rPr>
            </w:pPr>
          </w:p>
        </w:tc>
        <w:tc>
          <w:tcPr>
            <w:tcW w:w="9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Talent and Compensation Committee believes that:</w:t>
      </w:r>
    </w:p>
    <w:p>
      <w:pPr>
        <w:spacing w:after="0" w:line="198" w:lineRule="exact"/>
        <w:rPr>
          <w:sz w:val="20"/>
          <w:szCs w:val="20"/>
          <w:color w:val="auto"/>
        </w:rPr>
      </w:pPr>
    </w:p>
    <w:p>
      <w:pPr>
        <w:ind w:left="660" w:right="660" w:hanging="328"/>
        <w:spacing w:after="0" w:line="24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compensation of our executive officers should reflect their individual performance and their performance as an executive management team in attaining key operating metrics.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objectives should be motivating and challenging but also achievable and consistent with our safe and sound operation.</w:t>
      </w:r>
    </w:p>
    <w:p>
      <w:pPr>
        <w:spacing w:after="0" w:line="198" w:lineRule="exact"/>
        <w:rPr>
          <w:rFonts w:ascii="Arial" w:cs="Arial" w:eastAsia="Arial" w:hAnsi="Arial"/>
          <w:sz w:val="18"/>
          <w:szCs w:val="18"/>
          <w:color w:val="auto"/>
        </w:rPr>
      </w:pPr>
    </w:p>
    <w:p>
      <w:pPr>
        <w:ind w:left="660" w:right="280" w:hanging="328"/>
        <w:spacing w:after="0" w:line="24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should not be based on the short-term performance of our stock, whether favorable or unfavorable, and should not encourage unnecessary or excessive risks.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Role of the Talent and Compensation Committee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Oversight</w:t>
      </w:r>
    </w:p>
    <w:p>
      <w:pPr>
        <w:spacing w:after="0" w:line="198"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Our Talent and Compensation Committee is comprised entirely of independent directors. The Committee determines and approves the compensation of our executive officers. The independent members of our Board of Directors provide input with respect to our CEO’s compensation and ratify the Talent and Compensation Committee’s determinations with respect to our CEO’s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Approach to Total Compensation and its Components</w:t>
      </w:r>
    </w:p>
    <w:p>
      <w:pPr>
        <w:spacing w:after="0" w:line="198"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In establishing the total compensation of each of our executive officers, the Talent and Compensation Committee considers the following factors:</w:t>
      </w:r>
    </w:p>
    <w:p>
      <w:pPr>
        <w:spacing w:after="0" w:line="18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Scope of responsibilities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Value of his or her unique skills and capabilities to support our long-term performance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Contribution as a member of the executive management team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 as compared to individual objectives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 of the Company as compared to the Company’s three-year strategic plan and annual business plan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 of the Company as compared to a peer group</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Peer group compensation information</w:t>
      </w:r>
    </w:p>
    <w:p>
      <w:pPr>
        <w:spacing w:after="0" w:line="19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determining total compensation of our executive officers, the Talent and Compensation Committee considers the reasonable range of the median of total compensation of comparable positions at companies within our peer group. The Committee also considers the balance of nonequity and equity compensation and short-term and long-term compensation of comparable positions at companies within our peer group. The Committee does not have a policy or target for the allocation of compensation between nonequity and equity compensation or short-term and long-term compensation.</w:t>
      </w:r>
    </w:p>
    <w:p>
      <w:pPr>
        <w:spacing w:after="0" w:line="189"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Our Talent and Compensation Committee believes that a significant portion of executive compensation should be based on Company performance. Our annual nonequity incentive awards are granted based 100% on the performance of the Company as compared to pre-established goals. In addition, at least 60% of our long-term equity incentive awards vest based on the performance of the Company as compared to pre-established goals.</w:t>
      </w:r>
    </w:p>
    <w:p>
      <w:pPr>
        <w:spacing w:after="0" w:line="191"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Our Talent and Compensation Committee believes that granting long-term equity incentive awards to our executive officers provides a competitive incentive opportunity, links executive compensation with long-term performance and strengthens the alignment of executive compensation with shareholder value creation.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utilize our equity-based awards:</w:t>
      </w:r>
    </w:p>
    <w:p>
      <w:pPr>
        <w:spacing w:after="0" w:line="19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a retention tool to encourage the long-term service of our executives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our executive management team a direct interest in our future success</w:t>
      </w:r>
    </w:p>
    <w:p>
      <w:pPr>
        <w:spacing w:after="0" w:line="198" w:lineRule="exact"/>
        <w:rPr>
          <w:rFonts w:ascii="Arial" w:cs="Arial" w:eastAsia="Arial" w:hAnsi="Arial"/>
          <w:sz w:val="18"/>
          <w:szCs w:val="18"/>
          <w:color w:val="auto"/>
        </w:rPr>
      </w:pPr>
    </w:p>
    <w:p>
      <w:pPr>
        <w:ind w:right="4360" w:firstLine="332"/>
        <w:spacing w:after="0" w:line="469"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To directly align the interests of our executives with shareholder value creation </w:t>
      </w:r>
      <w:r>
        <w:rPr>
          <w:rFonts w:ascii="Arial" w:cs="Arial" w:eastAsia="Arial" w:hAnsi="Arial"/>
          <w:sz w:val="18"/>
          <w:szCs w:val="18"/>
          <w:u w:val="single" w:color="auto"/>
          <w:color w:val="00B0F0"/>
        </w:rPr>
        <w:t>Role of Outside Advisors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2020, the Talent and Compensation Committee retained McLagan, part of the Rewards Solutions practice at Aon plc (“McLagan“) to serve as its compensation consultant. The Talent and Compensation Committee has determined that McLagan is independent and that its work has not raised any conflicts of interest. McLagan has been the compensation consultant to the Talent and Compensation Committee since 2015.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ind w:right="20"/>
        <w:spacing w:after="0" w:line="238" w:lineRule="auto"/>
        <w:rPr>
          <w:sz w:val="20"/>
          <w:szCs w:val="20"/>
          <w:color w:val="auto"/>
        </w:rPr>
      </w:pPr>
      <w:r>
        <w:rPr>
          <w:rFonts w:ascii="Arial" w:cs="Arial" w:eastAsia="Arial" w:hAnsi="Arial"/>
          <w:sz w:val="18"/>
          <w:szCs w:val="18"/>
          <w:color w:val="auto"/>
        </w:rPr>
        <w:t>When requested by the Talent and Compensation Committee, a McLagan representative attends Committee meetings and participates in private sessions with the Committee. Talent and Compensation Committee members may consult directly with McLagan from time to time as desired, and the chair of our Talent and Compensation Committee regularly consults with McLagan with respect to Committee responsibilities and compensation matters.</w:t>
      </w:r>
    </w:p>
    <w:p>
      <w:pPr>
        <w:spacing w:after="0" w:line="19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Talent and Compensation Committee determines the scope of McLagan’s services and has approved a written agreement pursuant to which McLagan provides independent advice to the Committee. The approved scope of McLagan’s work generally includes performing analyses and providing independent advice related to our executive and nonemployee director compensation programs, providing competitive market studies and other services that support the Talent and Compensation Committee’s decisions, such as providing advice in areas such as compensation philosophy, compensation risk assessment, market comparator group, incentive plan design, executive compensation disclosure, emerging best practices and changes in the regulatory environment.</w:t>
      </w:r>
    </w:p>
    <w:p>
      <w:pPr>
        <w:spacing w:after="0" w:line="191"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McLagan, along with management, also prepares benchmarking data for consideration by the Talent and Compensation Committee in making decisions with respect to base salary, the annual nonequity incentive award program and the long-term equity incentive award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Management’s Role in Determining Executive Compensation</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executive management team develops a rolling three-year strategic plan and annual business plan. The three-year strategic plan and annual business plan are reviewed and approved by our Board. Financial performance targets used in our incentive compensation programs typically are derived from those plans.</w:t>
      </w:r>
    </w:p>
    <w:p>
      <w:pPr>
        <w:spacing w:after="0" w:line="1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CEO develops compensation recommendations for our executive officers based on each executive’s scope of responsibilities, individual performance and contributions to the executive management team, as well as market data provided by McLagan. The CEO evaluates and reports to the Talent and Compensation Committee on the performance of each of the other NEOs, in each case, versus previously established goals. The Talent and Compensation Committee also has input into each NEO’s performance evaluation. No objective criteria or relative weighting is assigned to any individual goal or factor. In making compensation recommendations, the CEO also takes into account United’s performance as compared to our Board-approved plans and peer group performance. Our Talent and Compensation Committee reviews and considers the recommendations of the CEO and his evaluation of the performance of our executive officers.</w:t>
      </w:r>
    </w:p>
    <w:p>
      <w:pPr>
        <w:spacing w:after="0" w:line="18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Our Talent and Compensation Committee determines the compensation of our CEO after assessing the performance of the CEO and the performance of the Company as compared to the Board-approved plans and peer group performance. Our Lead Director, who consults regularly with the CEO and other directors, provides input to the Committee with respect to the CEO’s performance. The Committee also consults with McLagan as to the appropriateness of our CEO’s compensation and each component of compensation in light of market practices, sound governance practices and trends in compensation practices in the banking industry.</w:t>
      </w:r>
    </w:p>
    <w:p>
      <w:pPr>
        <w:spacing w:after="0" w:line="189"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Although the Committee values and solicits management’s input, it retains and exercises sole authority to make decisions regarding executive officer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Market Benchmarking</w:t>
      </w:r>
    </w:p>
    <w:p>
      <w:pPr>
        <w:spacing w:after="0" w:line="19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On an annual basis, the Talent and Compensation Committee selects a benchmark group of publicly-traded financial institutions to use in assessing the compensation of United’s executive officers. The peer group is used by our Talent and Compensation Committee to ensure that United’s compensation programs offer competitive compensation opportunities and reflect best practices in compensation plan design.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ind w:right="100"/>
        <w:spacing w:after="0" w:line="238" w:lineRule="auto"/>
        <w:rPr>
          <w:sz w:val="20"/>
          <w:szCs w:val="20"/>
          <w:color w:val="auto"/>
        </w:rPr>
      </w:pPr>
      <w:r>
        <w:rPr>
          <w:rFonts w:ascii="Arial" w:cs="Arial" w:eastAsia="Arial" w:hAnsi="Arial"/>
          <w:sz w:val="18"/>
          <w:szCs w:val="18"/>
          <w:color w:val="auto"/>
        </w:rPr>
        <w:t>McLagan assists the Committee in selecting the appropriate peer group companies. The Company determined a new peer group in 2019 for the purposes of setting 2020 compensation, based on comparable assets, commercial loan concentrations, number of branches and states of operation. The 2019 benchmark group of publicly-traded financial institutions used to set 2020 compensation (the “2020 Compensation Peer Group”)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121920</wp:posOffset>
            </wp:positionV>
            <wp:extent cx="825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121920</wp:posOffset>
            </wp:positionV>
            <wp:extent cx="825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121920</wp:posOffset>
            </wp:positionV>
            <wp:extent cx="825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121920</wp:posOffset>
            </wp:positionV>
            <wp:extent cx="889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60" w:type="dxa"/>
            <w:vAlign w:val="bottom"/>
            <w:tcBorders>
              <w:right w:val="single" w:sz="8" w:color="1077A9"/>
            </w:tcBorders>
            <w:shd w:val="clear" w:color="auto" w:fill="1077A9"/>
          </w:tcPr>
          <w:p>
            <w:pPr>
              <w:ind w:left="100"/>
              <w:spacing w:after="0"/>
              <w:rPr>
                <w:sz w:val="20"/>
                <w:szCs w:val="20"/>
                <w:color w:val="auto"/>
              </w:rPr>
            </w:pPr>
            <w:r>
              <w:rPr>
                <w:rFonts w:ascii="Arial" w:cs="Arial" w:eastAsia="Arial" w:hAnsi="Arial"/>
                <w:sz w:val="14"/>
                <w:szCs w:val="14"/>
                <w:color w:val="FFFFFF"/>
              </w:rPr>
              <w:t>Company Name</w:t>
            </w:r>
            <w:r>
              <w:rPr>
                <w:rFonts w:ascii="Arial" w:cs="Arial" w:eastAsia="Arial" w:hAnsi="Arial"/>
                <w:sz w:val="23"/>
                <w:szCs w:val="23"/>
                <w:color w:val="FFFFFF"/>
                <w:vertAlign w:val="superscript"/>
              </w:rPr>
              <w:t>1</w:t>
            </w:r>
          </w:p>
        </w:tc>
        <w:tc>
          <w:tcPr>
            <w:tcW w:w="1700" w:type="dxa"/>
            <w:vAlign w:val="bottom"/>
            <w:tcBorders>
              <w:right w:val="single" w:sz="8" w:color="1077A9"/>
            </w:tcBorders>
            <w:shd w:val="clear" w:color="auto" w:fill="1077A9"/>
          </w:tcPr>
          <w:p>
            <w:pPr>
              <w:jc w:val="center"/>
              <w:spacing w:after="0"/>
              <w:rPr>
                <w:sz w:val="20"/>
                <w:szCs w:val="20"/>
                <w:color w:val="auto"/>
              </w:rPr>
            </w:pPr>
            <w:r>
              <w:rPr>
                <w:rFonts w:ascii="Arial" w:cs="Arial" w:eastAsia="Arial" w:hAnsi="Arial"/>
                <w:sz w:val="14"/>
                <w:szCs w:val="14"/>
                <w:color w:val="FFFFFF"/>
              </w:rPr>
              <w:t>Ticker</w:t>
            </w:r>
          </w:p>
        </w:tc>
        <w:tc>
          <w:tcPr>
            <w:tcW w:w="1680" w:type="dxa"/>
            <w:vAlign w:val="bottom"/>
            <w:tcBorders>
              <w:right w:val="single" w:sz="8" w:color="1077A9"/>
            </w:tcBorders>
            <w:shd w:val="clear" w:color="auto" w:fill="1077A9"/>
          </w:tcPr>
          <w:p>
            <w:pPr>
              <w:jc w:val="center"/>
              <w:spacing w:after="0"/>
              <w:rPr>
                <w:sz w:val="20"/>
                <w:szCs w:val="20"/>
                <w:color w:val="auto"/>
              </w:rPr>
            </w:pPr>
            <w:r>
              <w:rPr>
                <w:rFonts w:ascii="Arial" w:cs="Arial" w:eastAsia="Arial" w:hAnsi="Arial"/>
                <w:sz w:val="14"/>
                <w:szCs w:val="14"/>
                <w:color w:val="FFFFFF"/>
              </w:rPr>
              <w:t>City</w:t>
            </w:r>
          </w:p>
        </w:tc>
        <w:tc>
          <w:tcPr>
            <w:tcW w:w="1680" w:type="dxa"/>
            <w:vAlign w:val="bottom"/>
            <w:tcBorders>
              <w:right w:val="single" w:sz="8" w:color="1077A9"/>
            </w:tcBorders>
            <w:shd w:val="clear" w:color="auto" w:fill="1077A9"/>
          </w:tcPr>
          <w:p>
            <w:pPr>
              <w:jc w:val="center"/>
              <w:spacing w:after="0"/>
              <w:rPr>
                <w:sz w:val="20"/>
                <w:szCs w:val="20"/>
                <w:color w:val="auto"/>
              </w:rPr>
            </w:pPr>
            <w:r>
              <w:rPr>
                <w:rFonts w:ascii="Arial" w:cs="Arial" w:eastAsia="Arial" w:hAnsi="Arial"/>
                <w:sz w:val="14"/>
                <w:szCs w:val="14"/>
                <w:color w:val="FFFFFF"/>
              </w:rPr>
              <w:t>State</w:t>
            </w:r>
          </w:p>
        </w:tc>
        <w:tc>
          <w:tcPr>
            <w:tcW w:w="2220" w:type="dxa"/>
            <w:vAlign w:val="bottom"/>
            <w:shd w:val="clear" w:color="auto" w:fill="1077A9"/>
          </w:tcPr>
          <w:p>
            <w:pPr>
              <w:jc w:val="right"/>
              <w:ind w:right="208"/>
              <w:spacing w:after="0"/>
              <w:rPr>
                <w:sz w:val="20"/>
                <w:szCs w:val="20"/>
                <w:color w:val="auto"/>
              </w:rPr>
            </w:pPr>
            <w:r>
              <w:rPr>
                <w:rFonts w:ascii="Arial" w:cs="Arial" w:eastAsia="Arial" w:hAnsi="Arial"/>
                <w:sz w:val="14"/>
                <w:szCs w:val="14"/>
                <w:color w:val="FFFFFF"/>
              </w:rPr>
              <w:t>Total Assets 2019Y ($000)</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Ameris Bancorp</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ABCB</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Atlanta</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GA</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$18,242,579</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Atlantic Union Bkshs Corp.</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7"/>
              </w:rPr>
              <w:t>AUB</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Richmond</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VA</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17,562,990</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BancorpSouth Bank</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9"/>
              </w:rPr>
              <w:t>BXS</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8"/>
              </w:rPr>
              <w:t>Tupelo</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MS</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21,052,576</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Cadence Bancorp.</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CADE</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Houston</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TX</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17,800,229</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CenterState Bank Corp.</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CSFL</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Winter Haven</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FL</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17,142,025</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First Commonwealth Financial</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FCF</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Indiana</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PA</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8,308,773</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First Financial Bancorp.</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8"/>
              </w:rPr>
              <w:t>FFBC</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Cincinnati</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OH</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14,511,625</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First Financial Bankshares</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FFIN</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Abilene</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TX</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8,262,227</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First Merchants Corp.</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FRME</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Muncie</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9"/>
              </w:rPr>
              <w:t>IN</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12,457,254</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Fulton Financial Corp.</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FULT</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Lancaster</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PA</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21,886,040</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Independent Bk Group Inc.</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IBTX</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McKinney</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TX</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14,958,207</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LegacyTexas Finl Group Inc</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LTXB</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Plano</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TX</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Old National Bancorp</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ONB</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Evansville</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9"/>
              </w:rPr>
              <w:t>IN</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20,411,667</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Pinnacle Financial Partners</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PNFP</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Nashville</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TN</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27,805,496</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Renasant Corp.</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RNST</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8"/>
              </w:rPr>
              <w:t>Tupelo</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MS</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13,400,618</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S&amp;T Bancorp Inc.</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8"/>
              </w:rPr>
              <w:t>STBA</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Indiana</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PA</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8,764,649</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Sandy Spring Bancorp Inc.</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SASR</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Olney</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MD</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8,629,002</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Simmons First National Corp.</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SFNC</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Pine Bluff</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AR</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21,259,143</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South State Corporation</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9"/>
              </w:rPr>
              <w:t>SSB</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Winter Haven</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FL</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15,921,092</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TowneBank</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TOWN</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Portsmouth</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VA</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11,947,663</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Trustmark Corp.</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TRMK</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Jackson</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MS</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13,497,877</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UMB Financial Corp.</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UMBF</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Kansas City</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7"/>
              </w:rPr>
              <w:t>MO</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26,561,355</w:t>
            </w:r>
          </w:p>
        </w:tc>
      </w:tr>
      <w:tr>
        <w:trPr>
          <w:trHeight w:val="189"/>
        </w:trPr>
        <w:tc>
          <w:tcPr>
            <w:tcW w:w="396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United Bankshares Inc.</w:t>
            </w:r>
          </w:p>
        </w:tc>
        <w:tc>
          <w:tcPr>
            <w:tcW w:w="170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7"/>
              </w:rPr>
              <w:t>UBSI</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Charleston</w:t>
            </w:r>
          </w:p>
        </w:tc>
        <w:tc>
          <w:tcPr>
            <w:tcW w:w="168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7"/>
              </w:rPr>
              <w:t>WV</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19,662,324</w:t>
            </w:r>
          </w:p>
        </w:tc>
      </w:tr>
      <w:tr>
        <w:trPr>
          <w:trHeight w:val="189"/>
        </w:trPr>
        <w:tc>
          <w:tcPr>
            <w:tcW w:w="396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WesBanco Inc.</w:t>
            </w:r>
          </w:p>
        </w:tc>
        <w:tc>
          <w:tcPr>
            <w:tcW w:w="170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WSBC</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Wheeling</w:t>
            </w:r>
          </w:p>
        </w:tc>
        <w:tc>
          <w:tcPr>
            <w:tcW w:w="168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7"/>
              </w:rPr>
              <w:t>WV</w:t>
            </w:r>
          </w:p>
        </w:tc>
        <w:tc>
          <w:tcPr>
            <w:tcW w:w="22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15,720,112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-119380</wp:posOffset>
            </wp:positionV>
            <wp:extent cx="8255"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-119380</wp:posOffset>
            </wp:positionV>
            <wp:extent cx="8255"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-119380</wp:posOffset>
            </wp:positionV>
            <wp:extent cx="8255"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-119380</wp:posOffset>
            </wp:positionV>
            <wp:extent cx="889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-359410</wp:posOffset>
            </wp:positionV>
            <wp:extent cx="8255"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-359410</wp:posOffset>
            </wp:positionV>
            <wp:extent cx="8255"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-359410</wp:posOffset>
            </wp:positionV>
            <wp:extent cx="8255"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-359410</wp:posOffset>
            </wp:positionV>
            <wp:extent cx="8890"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-599440</wp:posOffset>
            </wp:positionV>
            <wp:extent cx="8255"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-599440</wp:posOffset>
            </wp:positionV>
            <wp:extent cx="8255"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-599440</wp:posOffset>
            </wp:positionV>
            <wp:extent cx="8255"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-599440</wp:posOffset>
            </wp:positionV>
            <wp:extent cx="889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-839470</wp:posOffset>
            </wp:positionV>
            <wp:extent cx="8255" cy="120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-839470</wp:posOffset>
            </wp:positionV>
            <wp:extent cx="8255" cy="1200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-839470</wp:posOffset>
            </wp:positionV>
            <wp:extent cx="8255"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-839470</wp:posOffset>
            </wp:positionV>
            <wp:extent cx="8890"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-1079500</wp:posOffset>
            </wp:positionV>
            <wp:extent cx="8255" cy="1200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-1079500</wp:posOffset>
            </wp:positionV>
            <wp:extent cx="8255"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-1079500</wp:posOffset>
            </wp:positionV>
            <wp:extent cx="8255"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-1079500</wp:posOffset>
            </wp:positionV>
            <wp:extent cx="889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-1319530</wp:posOffset>
            </wp:positionV>
            <wp:extent cx="8255"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-1319530</wp:posOffset>
            </wp:positionV>
            <wp:extent cx="8255"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-1319530</wp:posOffset>
            </wp:positionV>
            <wp:extent cx="8255"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-1319530</wp:posOffset>
            </wp:positionV>
            <wp:extent cx="8890"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-1559560</wp:posOffset>
            </wp:positionV>
            <wp:extent cx="8255" cy="120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-1559560</wp:posOffset>
            </wp:positionV>
            <wp:extent cx="8255"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-1559560</wp:posOffset>
            </wp:positionV>
            <wp:extent cx="8255"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-1559560</wp:posOffset>
            </wp:positionV>
            <wp:extent cx="8890"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-1799590</wp:posOffset>
            </wp:positionV>
            <wp:extent cx="8255"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-1799590</wp:posOffset>
            </wp:positionV>
            <wp:extent cx="8255"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-1799590</wp:posOffset>
            </wp:positionV>
            <wp:extent cx="8255" cy="120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-1799590</wp:posOffset>
            </wp:positionV>
            <wp:extent cx="8890"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-2039620</wp:posOffset>
            </wp:positionV>
            <wp:extent cx="8255" cy="1200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-2039620</wp:posOffset>
            </wp:positionV>
            <wp:extent cx="8255"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-2039620</wp:posOffset>
            </wp:positionV>
            <wp:extent cx="8255" cy="1200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-2039620</wp:posOffset>
            </wp:positionV>
            <wp:extent cx="8890" cy="1200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-2279650</wp:posOffset>
            </wp:positionV>
            <wp:extent cx="8255" cy="1200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-2279650</wp:posOffset>
            </wp:positionV>
            <wp:extent cx="8255"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-2279650</wp:posOffset>
            </wp:positionV>
            <wp:extent cx="8255"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-2279650</wp:posOffset>
            </wp:positionV>
            <wp:extent cx="8890" cy="1200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-2519680</wp:posOffset>
            </wp:positionV>
            <wp:extent cx="8255"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-2519680</wp:posOffset>
            </wp:positionV>
            <wp:extent cx="8255"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-2519680</wp:posOffset>
            </wp:positionV>
            <wp:extent cx="8255" cy="1200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-2519680</wp:posOffset>
            </wp:positionV>
            <wp:extent cx="8890"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-2759710</wp:posOffset>
            </wp:positionV>
            <wp:extent cx="8255"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-2759710</wp:posOffset>
            </wp:positionV>
            <wp:extent cx="8255" cy="1200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-2759710</wp:posOffset>
            </wp:positionV>
            <wp:extent cx="8255" cy="120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-2759710</wp:posOffset>
            </wp:positionV>
            <wp:extent cx="889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12001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 Legacy Texas Finl Group Inc was acquired in October 2019. As a result, no year-end assets are disclosed.</w:t>
      </w:r>
    </w:p>
    <w:p>
      <w:pPr>
        <w:spacing w:after="0" w:line="19" w:lineRule="exact"/>
        <w:rPr>
          <w:sz w:val="20"/>
          <w:szCs w:val="20"/>
          <w:color w:val="auto"/>
        </w:rPr>
      </w:pPr>
    </w:p>
    <w:p>
      <w:pPr>
        <w:ind w:left="120" w:right="20" w:hanging="112"/>
        <w:spacing w:after="0" w:line="213" w:lineRule="auto"/>
        <w:tabs>
          <w:tab w:leader="none" w:pos="12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The following publicly-traded financial institutions that were included in the benchmark group used to set 2019 compensation were removed from the 2020 Compensation Peer Group: Commerce Bancshares Inc. – as a result of it exceeding the asset ceiling for the peer group; FCB Financial Holdings Inc. – as a result of its acquisition in January 2019; Home BancShares Inc. – as a result its management structure being dissimilar to that of United. The following publicly-traded financial institutions were added to the 2020 Compensation Peer Group – Cadence Bancorporation, Independent Bank Group Inc. and Sandy Spring Bancorp Inc. – as a result of all of them having met our requirements for inclusion in the 2020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Talent and Compensation Committee believes that this group was representative of the markets in which we compete for executive talent. The Talent and Compensation Committee uses the peer group to obtain a general understanding of the current compensation practices for our industry as compared to United including a review of base salaries, annual nonequity incentive awards and long-term equity incentive awards.</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When determining compensation for our executive officers for 2020, the Talent and Compensation Committee considered the median range of total compensation and components of compensation for the comparable roles within the 2020 Compensation Peer Group companies. Although the Committee did not seek to set compensation at a specific target level as compared to the 2020 Compensation Peer Group, the Committee considered whether total compensation and its components for each of our executive officers was within a reasonable range of the median compensation for comparable positions at the 2020 Compensation Peer Group companies.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2020 Executive Compensation Components</w:t>
      </w:r>
    </w:p>
    <w:p>
      <w:pPr>
        <w:spacing w:after="0" w:line="22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Company’s executive compensation program has three main components – base salary, annual nonequity incentive awards and long-term equity incentive awards. There are also limited perquisites.</w:t>
      </w:r>
    </w:p>
    <w:p>
      <w:pPr>
        <w:spacing w:after="0" w:line="18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Base salary and annual nonequity incentive awards are primarily designed to reward current and past performance. Long-term equity incentive awards are primarily designed to promote long-term future growth. Our Talent and Compensation Committee has structured the Company’s annual nonequity incentive award program and long-term equity incentive award program to motivate executives to achieve the business goals set by the Company and to reward the executives for achieving such goals.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1077A9"/>
        </w:rPr>
        <w:t>Base Salary</w:t>
      </w:r>
    </w:p>
    <w:p>
      <w:pPr>
        <w:spacing w:after="0" w:line="19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To attract and retain qualified executives, base salary is provided to our executive officers. The base salary is determined based on position, responsibility and skills and capabilities using competitive criteria as well as an assessment of the individual’s performance. Our Talent and Compensation Committee also considers market data provided by our outside consultants when determining base salaries for executive officers.</w:t>
      </w:r>
    </w:p>
    <w:p>
      <w:pPr>
        <w:spacing w:after="0" w:line="19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Base salary levels are typically reviewed annually as part of our annual performance review process as well as upon a promotion or other change in job responsibilities.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base salaries of our NEOs changed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126365</wp:posOffset>
            </wp:positionV>
            <wp:extent cx="8255" cy="274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126365</wp:posOffset>
            </wp:positionV>
            <wp:extent cx="8890" cy="274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126365</wp:posOffset>
            </wp:positionV>
            <wp:extent cx="8255" cy="274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27432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80" w:type="dxa"/>
            <w:vAlign w:val="bottom"/>
            <w:vMerge w:val="restart"/>
            <w:shd w:val="clear" w:color="auto" w:fill="1077A9"/>
          </w:tcPr>
          <w:p>
            <w:pPr>
              <w:ind w:left="100"/>
              <w:spacing w:after="0"/>
              <w:rPr>
                <w:sz w:val="20"/>
                <w:szCs w:val="20"/>
                <w:color w:val="auto"/>
              </w:rPr>
            </w:pPr>
            <w:r>
              <w:rPr>
                <w:rFonts w:ascii="Arial" w:cs="Arial" w:eastAsia="Arial" w:hAnsi="Arial"/>
                <w:sz w:val="14"/>
                <w:szCs w:val="14"/>
                <w:color w:val="FFFFFF"/>
              </w:rPr>
              <w:t>Name</w:t>
            </w:r>
          </w:p>
        </w:tc>
        <w:tc>
          <w:tcPr>
            <w:tcW w:w="4120" w:type="dxa"/>
            <w:vAlign w:val="bottom"/>
            <w:shd w:val="clear" w:color="auto" w:fill="1077A9"/>
          </w:tcPr>
          <w:p>
            <w:pPr>
              <w:ind w:left="2940"/>
              <w:spacing w:after="0"/>
              <w:rPr>
                <w:sz w:val="20"/>
                <w:szCs w:val="20"/>
                <w:color w:val="auto"/>
              </w:rPr>
            </w:pPr>
            <w:r>
              <w:rPr>
                <w:rFonts w:ascii="Arial" w:cs="Arial" w:eastAsia="Arial" w:hAnsi="Arial"/>
                <w:sz w:val="14"/>
                <w:szCs w:val="14"/>
                <w:color w:val="FFFFFF"/>
              </w:rPr>
              <w:t>2019 Year-End</w:t>
            </w:r>
          </w:p>
        </w:tc>
        <w:tc>
          <w:tcPr>
            <w:tcW w:w="1420" w:type="dxa"/>
            <w:vAlign w:val="bottom"/>
            <w:shd w:val="clear" w:color="auto" w:fill="1077A9"/>
          </w:tcPr>
          <w:p>
            <w:pPr>
              <w:ind w:left="160"/>
              <w:spacing w:after="0"/>
              <w:rPr>
                <w:sz w:val="20"/>
                <w:szCs w:val="20"/>
                <w:color w:val="auto"/>
              </w:rPr>
            </w:pPr>
            <w:r>
              <w:rPr>
                <w:rFonts w:ascii="Arial" w:cs="Arial" w:eastAsia="Arial" w:hAnsi="Arial"/>
                <w:sz w:val="14"/>
                <w:szCs w:val="14"/>
                <w:color w:val="FFFFFF"/>
              </w:rPr>
              <w:t>2020 Year-End</w:t>
            </w:r>
          </w:p>
        </w:tc>
        <w:tc>
          <w:tcPr>
            <w:tcW w:w="1220" w:type="dxa"/>
            <w:vAlign w:val="bottom"/>
            <w:vMerge w:val="restart"/>
            <w:shd w:val="clear" w:color="auto" w:fill="1077A9"/>
          </w:tcPr>
          <w:p>
            <w:pPr>
              <w:jc w:val="right"/>
              <w:ind w:right="228"/>
              <w:spacing w:after="0"/>
              <w:rPr>
                <w:sz w:val="20"/>
                <w:szCs w:val="20"/>
                <w:color w:val="auto"/>
              </w:rPr>
            </w:pPr>
            <w:r>
              <w:rPr>
                <w:rFonts w:ascii="Arial" w:cs="Arial" w:eastAsia="Arial" w:hAnsi="Arial"/>
                <w:sz w:val="14"/>
                <w:szCs w:val="14"/>
                <w:color w:val="FFFFFF"/>
              </w:rPr>
              <w:t>% Change</w:t>
            </w:r>
          </w:p>
        </w:tc>
        <w:tc>
          <w:tcPr>
            <w:tcW w:w="0" w:type="dxa"/>
            <w:vAlign w:val="bottom"/>
          </w:tcPr>
          <w:p>
            <w:pPr>
              <w:spacing w:after="0"/>
              <w:rPr>
                <w:sz w:val="1"/>
                <w:szCs w:val="1"/>
                <w:color w:val="auto"/>
              </w:rPr>
            </w:pPr>
          </w:p>
        </w:tc>
      </w:tr>
      <w:tr>
        <w:trPr>
          <w:trHeight w:val="91"/>
        </w:trPr>
        <w:tc>
          <w:tcPr>
            <w:tcW w:w="4480" w:type="dxa"/>
            <w:vAlign w:val="bottom"/>
            <w:vMerge w:val="continue"/>
            <w:shd w:val="clear" w:color="auto" w:fill="1077A9"/>
          </w:tcPr>
          <w:p>
            <w:pPr>
              <w:spacing w:after="0"/>
              <w:rPr>
                <w:sz w:val="7"/>
                <w:szCs w:val="7"/>
                <w:color w:val="auto"/>
              </w:rPr>
            </w:pPr>
          </w:p>
        </w:tc>
        <w:tc>
          <w:tcPr>
            <w:tcW w:w="4120" w:type="dxa"/>
            <w:vAlign w:val="bottom"/>
            <w:vMerge w:val="restart"/>
            <w:shd w:val="clear" w:color="auto" w:fill="1077A9"/>
          </w:tcPr>
          <w:p>
            <w:pPr>
              <w:ind w:left="2960"/>
              <w:spacing w:after="0"/>
              <w:rPr>
                <w:sz w:val="20"/>
                <w:szCs w:val="20"/>
                <w:color w:val="auto"/>
              </w:rPr>
            </w:pPr>
            <w:r>
              <w:rPr>
                <w:rFonts w:ascii="Arial" w:cs="Arial" w:eastAsia="Arial" w:hAnsi="Arial"/>
                <w:sz w:val="14"/>
                <w:szCs w:val="14"/>
                <w:color w:val="FFFFFF"/>
              </w:rPr>
              <w:t>Base Salary ($)</w:t>
            </w:r>
          </w:p>
        </w:tc>
        <w:tc>
          <w:tcPr>
            <w:tcW w:w="1420" w:type="dxa"/>
            <w:vAlign w:val="bottom"/>
            <w:vMerge w:val="restart"/>
            <w:shd w:val="clear" w:color="auto" w:fill="1077A9"/>
          </w:tcPr>
          <w:p>
            <w:pPr>
              <w:ind w:left="160"/>
              <w:spacing w:after="0"/>
              <w:rPr>
                <w:sz w:val="20"/>
                <w:szCs w:val="20"/>
                <w:color w:val="auto"/>
              </w:rPr>
            </w:pPr>
            <w:r>
              <w:rPr>
                <w:rFonts w:ascii="Arial" w:cs="Arial" w:eastAsia="Arial" w:hAnsi="Arial"/>
                <w:sz w:val="14"/>
                <w:szCs w:val="14"/>
                <w:color w:val="FFFFFF"/>
              </w:rPr>
              <w:t>Base Salary ($)</w:t>
            </w:r>
          </w:p>
        </w:tc>
        <w:tc>
          <w:tcPr>
            <w:tcW w:w="122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4480" w:type="dxa"/>
            <w:vAlign w:val="bottom"/>
            <w:tcBorders>
              <w:bottom w:val="single" w:sz="8" w:color="1077A9"/>
            </w:tcBorders>
            <w:shd w:val="clear" w:color="auto" w:fill="1077A9"/>
          </w:tcPr>
          <w:p>
            <w:pPr>
              <w:spacing w:after="0"/>
              <w:rPr>
                <w:sz w:val="8"/>
                <w:szCs w:val="8"/>
                <w:color w:val="auto"/>
              </w:rPr>
            </w:pPr>
          </w:p>
        </w:tc>
        <w:tc>
          <w:tcPr>
            <w:tcW w:w="4120" w:type="dxa"/>
            <w:vAlign w:val="bottom"/>
            <w:tcBorders>
              <w:bottom w:val="single" w:sz="8" w:color="1077A9"/>
            </w:tcBorders>
            <w:vMerge w:val="continue"/>
            <w:shd w:val="clear" w:color="auto" w:fill="1077A9"/>
          </w:tcPr>
          <w:p>
            <w:pPr>
              <w:spacing w:after="0"/>
              <w:rPr>
                <w:sz w:val="8"/>
                <w:szCs w:val="8"/>
                <w:color w:val="auto"/>
              </w:rPr>
            </w:pPr>
          </w:p>
        </w:tc>
        <w:tc>
          <w:tcPr>
            <w:tcW w:w="1420" w:type="dxa"/>
            <w:vAlign w:val="bottom"/>
            <w:tcBorders>
              <w:bottom w:val="single" w:sz="8" w:color="1077A9"/>
            </w:tcBorders>
            <w:vMerge w:val="continue"/>
            <w:shd w:val="clear" w:color="auto" w:fill="1077A9"/>
          </w:tcPr>
          <w:p>
            <w:pPr>
              <w:spacing w:after="0"/>
              <w:rPr>
                <w:sz w:val="8"/>
                <w:szCs w:val="8"/>
                <w:color w:val="auto"/>
              </w:rPr>
            </w:pPr>
          </w:p>
        </w:tc>
        <w:tc>
          <w:tcPr>
            <w:tcW w:w="1220" w:type="dxa"/>
            <w:vAlign w:val="bottom"/>
            <w:tcBorders>
              <w:bottom w:val="single" w:sz="8" w:color="1077A9"/>
            </w:tcBorders>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4120" w:type="dxa"/>
            <w:vAlign w:val="bottom"/>
          </w:tcPr>
          <w:p>
            <w:pPr>
              <w:jc w:val="right"/>
              <w:ind w:right="88"/>
              <w:spacing w:after="0"/>
              <w:rPr>
                <w:sz w:val="20"/>
                <w:szCs w:val="20"/>
                <w:color w:val="auto"/>
              </w:rPr>
            </w:pPr>
            <w:r>
              <w:rPr>
                <w:rFonts w:ascii="Arial" w:cs="Arial" w:eastAsia="Arial" w:hAnsi="Arial"/>
                <w:sz w:val="14"/>
                <w:szCs w:val="14"/>
                <w:color w:val="auto"/>
              </w:rPr>
              <w:t>$775,000</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$795,000</w:t>
            </w:r>
          </w:p>
        </w:tc>
        <w:tc>
          <w:tcPr>
            <w:tcW w:w="122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4480" w:type="dxa"/>
            <w:vAlign w:val="bottom"/>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412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420,000</w:t>
            </w:r>
          </w:p>
        </w:tc>
        <w:tc>
          <w:tcPr>
            <w:tcW w:w="1420" w:type="dxa"/>
            <w:vAlign w:val="bottom"/>
            <w:shd w:val="clear" w:color="auto" w:fill="E5E6E6"/>
          </w:tcPr>
          <w:p>
            <w:pPr>
              <w:jc w:val="right"/>
              <w:ind w:right="188"/>
              <w:spacing w:after="0"/>
              <w:rPr>
                <w:sz w:val="20"/>
                <w:szCs w:val="20"/>
                <w:color w:val="auto"/>
              </w:rPr>
            </w:pPr>
            <w:r>
              <w:rPr>
                <w:rFonts w:ascii="Arial" w:cs="Arial" w:eastAsia="Arial" w:hAnsi="Arial"/>
                <w:sz w:val="14"/>
                <w:szCs w:val="14"/>
                <w:color w:val="auto"/>
              </w:rPr>
              <w:t>425,000</w:t>
            </w:r>
          </w:p>
        </w:tc>
        <w:tc>
          <w:tcPr>
            <w:tcW w:w="1220" w:type="dxa"/>
            <w:vAlign w:val="bottom"/>
            <w:shd w:val="clear" w:color="auto" w:fill="E5E6E6"/>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448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4120" w:type="dxa"/>
            <w:vAlign w:val="bottom"/>
          </w:tcPr>
          <w:p>
            <w:pPr>
              <w:jc w:val="right"/>
              <w:ind w:right="88"/>
              <w:spacing w:after="0"/>
              <w:rPr>
                <w:sz w:val="20"/>
                <w:szCs w:val="20"/>
                <w:color w:val="auto"/>
              </w:rPr>
            </w:pPr>
            <w:r>
              <w:rPr>
                <w:rFonts w:ascii="Arial" w:cs="Arial" w:eastAsia="Arial" w:hAnsi="Arial"/>
                <w:sz w:val="14"/>
                <w:szCs w:val="14"/>
                <w:color w:val="auto"/>
              </w:rPr>
              <w:t>385,000</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425,000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4480" w:type="dxa"/>
            <w:vAlign w:val="bottom"/>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412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385,000</w:t>
            </w:r>
          </w:p>
        </w:tc>
        <w:tc>
          <w:tcPr>
            <w:tcW w:w="1420" w:type="dxa"/>
            <w:vAlign w:val="bottom"/>
            <w:shd w:val="clear" w:color="auto" w:fill="E5E6E6"/>
          </w:tcPr>
          <w:p>
            <w:pPr>
              <w:jc w:val="right"/>
              <w:ind w:right="188"/>
              <w:spacing w:after="0"/>
              <w:rPr>
                <w:sz w:val="20"/>
                <w:szCs w:val="20"/>
                <w:color w:val="auto"/>
              </w:rPr>
            </w:pPr>
            <w:r>
              <w:rPr>
                <w:rFonts w:ascii="Arial" w:cs="Arial" w:eastAsia="Arial" w:hAnsi="Arial"/>
                <w:sz w:val="14"/>
                <w:szCs w:val="14"/>
                <w:color w:val="auto"/>
              </w:rPr>
              <w:t>400,000</w:t>
            </w:r>
          </w:p>
        </w:tc>
        <w:tc>
          <w:tcPr>
            <w:tcW w:w="1220" w:type="dxa"/>
            <w:vAlign w:val="bottom"/>
            <w:shd w:val="clear" w:color="auto" w:fill="E5E6E6"/>
          </w:tcPr>
          <w:p>
            <w:pPr>
              <w:jc w:val="right"/>
              <w:ind w:right="6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4480" w:type="dxa"/>
            <w:vAlign w:val="bottom"/>
            <w:tcBorders>
              <w:bottom w:val="single" w:sz="8" w:color="E5E6E6"/>
            </w:tcBorders>
          </w:tcPr>
          <w:p>
            <w:pPr>
              <w:ind w:left="100"/>
              <w:spacing w:after="0"/>
              <w:rPr>
                <w:sz w:val="20"/>
                <w:szCs w:val="20"/>
                <w:color w:val="auto"/>
              </w:rPr>
            </w:pPr>
            <w:r>
              <w:rPr>
                <w:rFonts w:ascii="Arial" w:cs="Arial" w:eastAsia="Arial" w:hAnsi="Arial"/>
                <w:sz w:val="14"/>
                <w:szCs w:val="14"/>
                <w:color w:val="auto"/>
              </w:rPr>
              <w:t>Melinda Davis Lux</w:t>
            </w:r>
          </w:p>
        </w:tc>
        <w:tc>
          <w:tcPr>
            <w:tcW w:w="4120" w:type="dxa"/>
            <w:vAlign w:val="bottom"/>
            <w:tcBorders>
              <w:bottom w:val="single" w:sz="8" w:color="E5E6E6"/>
            </w:tcBorders>
          </w:tcPr>
          <w:p>
            <w:pPr>
              <w:jc w:val="right"/>
              <w:ind w:right="88"/>
              <w:spacing w:after="0"/>
              <w:rPr>
                <w:sz w:val="20"/>
                <w:szCs w:val="20"/>
                <w:color w:val="auto"/>
              </w:rPr>
            </w:pPr>
            <w:r>
              <w:rPr>
                <w:rFonts w:ascii="Arial" w:cs="Arial" w:eastAsia="Arial" w:hAnsi="Arial"/>
                <w:sz w:val="14"/>
                <w:szCs w:val="14"/>
                <w:color w:val="auto"/>
              </w:rPr>
              <w:t>325,000</w:t>
            </w:r>
          </w:p>
        </w:tc>
        <w:tc>
          <w:tcPr>
            <w:tcW w:w="1420" w:type="dxa"/>
            <w:vAlign w:val="bottom"/>
            <w:tcBorders>
              <w:bottom w:val="single" w:sz="8" w:color="E5E6E6"/>
            </w:tcBorders>
          </w:tcPr>
          <w:p>
            <w:pPr>
              <w:jc w:val="right"/>
              <w:ind w:right="188"/>
              <w:spacing w:after="0"/>
              <w:rPr>
                <w:sz w:val="20"/>
                <w:szCs w:val="20"/>
                <w:color w:val="auto"/>
              </w:rPr>
            </w:pPr>
            <w:r>
              <w:rPr>
                <w:rFonts w:ascii="Arial" w:cs="Arial" w:eastAsia="Arial" w:hAnsi="Arial"/>
                <w:sz w:val="14"/>
                <w:szCs w:val="14"/>
                <w:color w:val="auto"/>
              </w:rPr>
              <w:t>350,000</w:t>
            </w:r>
          </w:p>
        </w:tc>
        <w:tc>
          <w:tcPr>
            <w:tcW w:w="1220" w:type="dxa"/>
            <w:vAlign w:val="bottom"/>
            <w:tcBorders>
              <w:bottom w:val="single" w:sz="8" w:color="E5E6E6"/>
            </w:tcBorders>
          </w:tcPr>
          <w:p>
            <w:pPr>
              <w:jc w:val="right"/>
              <w:ind w:right="6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Talent and Compensation Committee determined in 2020 to increase base salaries based primarily on individual performance and market data.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Annual Nonequity Incentive Awards</w:t>
      </w:r>
    </w:p>
    <w:p>
      <w:pPr>
        <w:spacing w:after="0" w:line="19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Talent and Compensation Committee believes that a significant portion of executive compensation should be linked directly to the achievement of specified financial and nonfinancial objectives. Our Management Incentive Plan is a pay-for-performance plan that governs the amount of nonequity incentive compensation we award annually to our executive officers. Under the Management Incentive Plan, the Talent and Compensation Committee determines who is eligible to participate in the plan, the threshold, target and maximum payout levels that can be awarded under the plan and the corporate performance metrics and qualitative measures used to determine awards. Those measures are generally based on annual corporate and financial performance goals established at threshold, target and maximum levels based on our strategic and operating objectives. At the end of each year, the actual performance for each of the chosen metrics is measured separately against target level. Corporate performance that meets the target level results in a 100% payout. Awards are prorated for actual performance results between levels (e.g., between threshold, target and maximum). The Talent and Compensation Committee has discretion to modify awards under the Management Incentive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2020 nonequity incentive awards utilized four key operational performance measures:</w:t>
      </w:r>
    </w:p>
    <w:p>
      <w:pPr>
        <w:spacing w:after="0" w:line="19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earnings per share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Nonperforming assets (“NPAs”) as a percentage of total assets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Efficiency ratio</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satisfaction ratings</w:t>
      </w:r>
    </w:p>
    <w:p>
      <w:pPr>
        <w:spacing w:after="0" w:line="19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following graphs summarize our 2020 performance with regard to three of these four performance objectives compared with our peer group. The customer satisfaction rating operational measure is based on Customer Service Profiles for which peer comparison data is unavailable. See Role of the Talent and Compensation Committee: Market Benchmarking for our 2020 Compensation Peer Group. The source data for the following graphs is S&amp;P Global Market Intelligence, which standardizes financial data to assist with comparisons across multiple companies. Consequently, the standardized data presented for us below may differ from our actual calculations, which do not take into account such standardizations.</w:t>
      </w:r>
    </w:p>
    <w:p>
      <w:pPr>
        <w:spacing w:after="0" w:line="137" w:lineRule="exact"/>
        <w:rPr>
          <w:sz w:val="20"/>
          <w:szCs w:val="20"/>
          <w:color w:val="auto"/>
        </w:rPr>
      </w:pPr>
    </w:p>
    <w:p>
      <w:pPr>
        <w:ind w:left="584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NPAs excluding restructured loans as a percent of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317240" cy="15773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17240" cy="1577340"/>
                    </a:xfrm>
                    <a:prstGeom prst="rect">
                      <a:avLst/>
                    </a:prstGeom>
                    <a:noFill/>
                  </pic:spPr>
                </pic:pic>
              </a:graphicData>
            </a:graphic>
          </wp:anchor>
        </w:drawing>
      </w:r>
    </w:p>
    <w:p>
      <w:pPr>
        <w:spacing w:after="0" w:line="40" w:lineRule="exact"/>
        <w:rPr>
          <w:sz w:val="20"/>
          <w:szCs w:val="20"/>
          <w:color w:val="auto"/>
        </w:rPr>
      </w:pPr>
    </w:p>
    <w:p>
      <w:pPr>
        <w:ind w:left="5980" w:right="80" w:hanging="121"/>
        <w:spacing w:after="0" w:line="221"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The table below summarizes the reconciliations of these non-GAAP measures to the most directly comparable measures as reported in accordance with GAAP. Please also see related disclosures in United’s Annual Report on Form 10-K for the year ended December 31, 2020 for the non-GAAP to GAAP reconciliation and other relevant information.</w:t>
      </w:r>
    </w:p>
    <w:p>
      <w:pPr>
        <w:spacing w:after="0" w:line="149" w:lineRule="exact"/>
        <w:rPr>
          <w:sz w:val="20"/>
          <w:szCs w:val="20"/>
          <w:color w:val="auto"/>
        </w:rPr>
      </w:pPr>
    </w:p>
    <w:tbl>
      <w:tblPr>
        <w:tblLayout w:type="fixed"/>
        <w:tblInd w:w="5860" w:type="dxa"/>
        <w:tblCellMar>
          <w:top w:w="0" w:type="dxa"/>
          <w:left w:w="0" w:type="dxa"/>
          <w:bottom w:w="0" w:type="dxa"/>
          <w:right w:w="0" w:type="dxa"/>
        </w:tblCellMar>
      </w:tblPr>
      <w:tr>
        <w:trPr>
          <w:trHeight w:val="221"/>
        </w:trPr>
        <w:tc>
          <w:tcPr>
            <w:tcW w:w="3420" w:type="dxa"/>
            <w:vAlign w:val="bottom"/>
            <w:shd w:val="clear" w:color="auto" w:fill="1077A9"/>
          </w:tcPr>
          <w:p>
            <w:pPr>
              <w:spacing w:after="0"/>
              <w:rPr>
                <w:sz w:val="19"/>
                <w:szCs w:val="19"/>
                <w:color w:val="auto"/>
              </w:rPr>
            </w:pPr>
          </w:p>
        </w:tc>
        <w:tc>
          <w:tcPr>
            <w:tcW w:w="1960" w:type="dxa"/>
            <w:vAlign w:val="bottom"/>
            <w:gridSpan w:val="3"/>
            <w:shd w:val="clear" w:color="auto" w:fill="1077A9"/>
          </w:tcPr>
          <w:p>
            <w:pPr>
              <w:jc w:val="center"/>
              <w:ind w:left="868"/>
              <w:spacing w:after="0"/>
              <w:rPr>
                <w:sz w:val="20"/>
                <w:szCs w:val="20"/>
                <w:color w:val="auto"/>
              </w:rPr>
            </w:pPr>
            <w:r>
              <w:rPr>
                <w:rFonts w:ascii="Arial" w:cs="Arial" w:eastAsia="Arial" w:hAnsi="Arial"/>
                <w:sz w:val="14"/>
                <w:szCs w:val="14"/>
                <w:color w:val="FFFFFF"/>
              </w:rPr>
              <w:t>For the Year</w:t>
            </w:r>
          </w:p>
        </w:tc>
      </w:tr>
      <w:tr>
        <w:trPr>
          <w:trHeight w:val="162"/>
        </w:trPr>
        <w:tc>
          <w:tcPr>
            <w:tcW w:w="3420" w:type="dxa"/>
            <w:vAlign w:val="bottom"/>
            <w:shd w:val="clear" w:color="auto" w:fill="1077A9"/>
          </w:tcPr>
          <w:p>
            <w:pPr>
              <w:spacing w:after="0"/>
              <w:rPr>
                <w:sz w:val="14"/>
                <w:szCs w:val="14"/>
                <w:color w:val="auto"/>
              </w:rPr>
            </w:pPr>
          </w:p>
        </w:tc>
        <w:tc>
          <w:tcPr>
            <w:tcW w:w="1960" w:type="dxa"/>
            <w:vAlign w:val="bottom"/>
            <w:gridSpan w:val="3"/>
            <w:shd w:val="clear" w:color="auto" w:fill="1077A9"/>
          </w:tcPr>
          <w:p>
            <w:pPr>
              <w:jc w:val="center"/>
              <w:ind w:left="828"/>
              <w:spacing w:after="0"/>
              <w:rPr>
                <w:sz w:val="20"/>
                <w:szCs w:val="20"/>
                <w:color w:val="auto"/>
              </w:rPr>
            </w:pPr>
            <w:r>
              <w:rPr>
                <w:rFonts w:ascii="Arial" w:cs="Arial" w:eastAsia="Arial" w:hAnsi="Arial"/>
                <w:sz w:val="14"/>
                <w:szCs w:val="14"/>
                <w:color w:val="FFFFFF"/>
              </w:rPr>
              <w:t>Ended</w:t>
            </w:r>
          </w:p>
        </w:tc>
      </w:tr>
      <w:tr>
        <w:trPr>
          <w:trHeight w:val="162"/>
        </w:trPr>
        <w:tc>
          <w:tcPr>
            <w:tcW w:w="3420" w:type="dxa"/>
            <w:vAlign w:val="bottom"/>
            <w:shd w:val="clear" w:color="auto" w:fill="1077A9"/>
          </w:tcPr>
          <w:p>
            <w:pPr>
              <w:spacing w:after="0"/>
              <w:rPr>
                <w:sz w:val="14"/>
                <w:szCs w:val="14"/>
                <w:color w:val="auto"/>
              </w:rPr>
            </w:pPr>
          </w:p>
        </w:tc>
        <w:tc>
          <w:tcPr>
            <w:tcW w:w="1960" w:type="dxa"/>
            <w:vAlign w:val="bottom"/>
            <w:gridSpan w:val="3"/>
            <w:shd w:val="clear" w:color="auto" w:fill="1077A9"/>
          </w:tcPr>
          <w:p>
            <w:pPr>
              <w:jc w:val="center"/>
              <w:ind w:left="868"/>
              <w:spacing w:after="0"/>
              <w:rPr>
                <w:sz w:val="20"/>
                <w:szCs w:val="20"/>
                <w:color w:val="auto"/>
              </w:rPr>
            </w:pPr>
            <w:r>
              <w:rPr>
                <w:rFonts w:ascii="Arial" w:cs="Arial" w:eastAsia="Arial" w:hAnsi="Arial"/>
                <w:sz w:val="14"/>
                <w:szCs w:val="14"/>
                <w:color w:val="FFFFFF"/>
              </w:rPr>
              <w:t>December 31,</w:t>
            </w:r>
          </w:p>
        </w:tc>
      </w:tr>
      <w:tr>
        <w:trPr>
          <w:trHeight w:val="191"/>
        </w:trPr>
        <w:tc>
          <w:tcPr>
            <w:tcW w:w="3420" w:type="dxa"/>
            <w:vAlign w:val="bottom"/>
            <w:tcBorders>
              <w:bottom w:val="single" w:sz="8" w:color="1077A9"/>
            </w:tcBorders>
            <w:shd w:val="clear" w:color="auto" w:fill="1077A9"/>
          </w:tcPr>
          <w:p>
            <w:pPr>
              <w:spacing w:after="0"/>
              <w:rPr>
                <w:sz w:val="16"/>
                <w:szCs w:val="16"/>
                <w:color w:val="auto"/>
              </w:rPr>
            </w:pPr>
          </w:p>
        </w:tc>
        <w:tc>
          <w:tcPr>
            <w:tcW w:w="1860" w:type="dxa"/>
            <w:vAlign w:val="bottom"/>
            <w:tcBorders>
              <w:bottom w:val="single" w:sz="8" w:color="1077A9"/>
            </w:tcBorders>
            <w:gridSpan w:val="2"/>
            <w:shd w:val="clear" w:color="auto" w:fill="1077A9"/>
          </w:tcPr>
          <w:p>
            <w:pPr>
              <w:jc w:val="center"/>
              <w:ind w:left="948"/>
              <w:spacing w:after="0"/>
              <w:rPr>
                <w:sz w:val="20"/>
                <w:szCs w:val="20"/>
                <w:color w:val="auto"/>
              </w:rPr>
            </w:pPr>
            <w:r>
              <w:rPr>
                <w:rFonts w:ascii="Arial" w:cs="Arial" w:eastAsia="Arial" w:hAnsi="Arial"/>
                <w:sz w:val="14"/>
                <w:szCs w:val="14"/>
                <w:color w:val="FFFFFF"/>
              </w:rPr>
              <w:t>2020</w:t>
            </w:r>
          </w:p>
        </w:tc>
        <w:tc>
          <w:tcPr>
            <w:tcW w:w="100" w:type="dxa"/>
            <w:vAlign w:val="bottom"/>
            <w:tcBorders>
              <w:bottom w:val="single" w:sz="8" w:color="1077A9"/>
            </w:tcBorders>
            <w:shd w:val="clear" w:color="auto" w:fill="1077A9"/>
          </w:tcPr>
          <w:p>
            <w:pPr>
              <w:spacing w:after="0"/>
              <w:rPr>
                <w:sz w:val="16"/>
                <w:szCs w:val="16"/>
                <w:color w:val="auto"/>
              </w:rPr>
            </w:pPr>
          </w:p>
        </w:tc>
      </w:tr>
      <w:tr>
        <w:trPr>
          <w:trHeight w:val="189"/>
        </w:trPr>
        <w:tc>
          <w:tcPr>
            <w:tcW w:w="3420" w:type="dxa"/>
            <w:vAlign w:val="bottom"/>
          </w:tcPr>
          <w:p>
            <w:pPr>
              <w:ind w:left="80"/>
              <w:spacing w:after="0"/>
              <w:rPr>
                <w:sz w:val="20"/>
                <w:szCs w:val="20"/>
                <w:color w:val="auto"/>
              </w:rPr>
            </w:pPr>
            <w:r>
              <w:rPr>
                <w:rFonts w:ascii="Arial" w:cs="Arial" w:eastAsia="Arial" w:hAnsi="Arial"/>
                <w:sz w:val="14"/>
                <w:szCs w:val="14"/>
                <w:color w:val="auto"/>
              </w:rPr>
              <w:t>Efficiency ratio reconciliation</w:t>
            </w: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420" w:type="dxa"/>
            <w:vAlign w:val="bottom"/>
            <w:shd w:val="clear" w:color="auto" w:fill="E5E6E6"/>
          </w:tcPr>
          <w:p>
            <w:pPr>
              <w:ind w:left="300"/>
              <w:spacing w:after="0"/>
              <w:rPr>
                <w:sz w:val="20"/>
                <w:szCs w:val="20"/>
                <w:color w:val="auto"/>
              </w:rPr>
            </w:pPr>
            <w:r>
              <w:rPr>
                <w:rFonts w:ascii="Arial" w:cs="Arial" w:eastAsia="Arial" w:hAnsi="Arial"/>
                <w:sz w:val="14"/>
                <w:szCs w:val="14"/>
                <w:color w:val="auto"/>
              </w:rPr>
              <w:t>Efficiency ratio - GAAP</w:t>
            </w:r>
          </w:p>
        </w:tc>
        <w:tc>
          <w:tcPr>
            <w:tcW w:w="1860" w:type="dxa"/>
            <w:vAlign w:val="bottom"/>
            <w:gridSpan w:val="2"/>
            <w:shd w:val="clear" w:color="auto" w:fill="E5E6E6"/>
          </w:tcPr>
          <w:p>
            <w:pPr>
              <w:ind w:left="1380"/>
              <w:spacing w:after="0"/>
              <w:rPr>
                <w:sz w:val="20"/>
                <w:szCs w:val="20"/>
                <w:color w:val="auto"/>
              </w:rPr>
            </w:pPr>
            <w:r>
              <w:rPr>
                <w:rFonts w:ascii="Arial" w:cs="Arial" w:eastAsia="Arial" w:hAnsi="Arial"/>
                <w:sz w:val="14"/>
                <w:szCs w:val="14"/>
                <w:color w:val="auto"/>
                <w:w w:val="96"/>
              </w:rPr>
              <w:t>55.71%</w:t>
            </w:r>
          </w:p>
        </w:tc>
        <w:tc>
          <w:tcPr>
            <w:tcW w:w="100" w:type="dxa"/>
            <w:vAlign w:val="bottom"/>
            <w:shd w:val="clear" w:color="auto" w:fill="E5E6E6"/>
          </w:tcPr>
          <w:p>
            <w:pPr>
              <w:spacing w:after="0"/>
              <w:rPr>
                <w:sz w:val="16"/>
                <w:szCs w:val="16"/>
                <w:color w:val="auto"/>
              </w:rPr>
            </w:pPr>
          </w:p>
        </w:tc>
      </w:tr>
      <w:tr>
        <w:trPr>
          <w:trHeight w:val="189"/>
        </w:trPr>
        <w:tc>
          <w:tcPr>
            <w:tcW w:w="3420" w:type="dxa"/>
            <w:vAlign w:val="bottom"/>
            <w:tcBorders>
              <w:bottom w:val="single" w:sz="8" w:color="E5E6E6"/>
            </w:tcBorders>
          </w:tcPr>
          <w:p>
            <w:pPr>
              <w:ind w:left="300"/>
              <w:spacing w:after="0"/>
              <w:rPr>
                <w:sz w:val="20"/>
                <w:szCs w:val="20"/>
                <w:color w:val="auto"/>
              </w:rPr>
            </w:pPr>
            <w:r>
              <w:rPr>
                <w:rFonts w:ascii="Arial" w:cs="Arial" w:eastAsia="Arial" w:hAnsi="Arial"/>
                <w:sz w:val="14"/>
                <w:szCs w:val="14"/>
                <w:color w:val="auto"/>
              </w:rPr>
              <w:t>Merger-related and other charges</w:t>
            </w:r>
          </w:p>
        </w:tc>
        <w:tc>
          <w:tcPr>
            <w:tcW w:w="1360" w:type="dxa"/>
            <w:vAlign w:val="bottom"/>
            <w:tcBorders>
              <w:bottom w:val="single" w:sz="8" w:color="E5E6E6"/>
            </w:tcBorders>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E5E6E6"/>
            </w:tcBorders>
          </w:tcPr>
          <w:p>
            <w:pPr>
              <w:spacing w:after="0"/>
              <w:rPr>
                <w:sz w:val="16"/>
                <w:szCs w:val="16"/>
                <w:color w:val="auto"/>
              </w:rPr>
            </w:pPr>
          </w:p>
        </w:tc>
      </w:tr>
      <w:tr>
        <w:trPr>
          <w:trHeight w:val="183"/>
        </w:trPr>
        <w:tc>
          <w:tcPr>
            <w:tcW w:w="3420" w:type="dxa"/>
            <w:vAlign w:val="bottom"/>
            <w:shd w:val="clear" w:color="auto" w:fill="E5E6E6"/>
          </w:tcPr>
          <w:p>
            <w:pPr>
              <w:ind w:left="460"/>
              <w:spacing w:after="0"/>
              <w:rPr>
                <w:sz w:val="20"/>
                <w:szCs w:val="20"/>
                <w:color w:val="auto"/>
              </w:rPr>
            </w:pPr>
            <w:r>
              <w:rPr>
                <w:rFonts w:ascii="Arial" w:cs="Arial" w:eastAsia="Arial" w:hAnsi="Arial"/>
                <w:sz w:val="14"/>
                <w:szCs w:val="14"/>
                <w:color w:val="auto"/>
              </w:rPr>
              <w:t>Efficiency ratio - operating</w:t>
            </w:r>
          </w:p>
        </w:tc>
        <w:tc>
          <w:tcPr>
            <w:tcW w:w="1860" w:type="dxa"/>
            <w:vAlign w:val="bottom"/>
            <w:gridSpan w:val="2"/>
            <w:shd w:val="clear" w:color="auto" w:fill="E5E6E6"/>
          </w:tcPr>
          <w:p>
            <w:pPr>
              <w:ind w:left="1380"/>
              <w:spacing w:after="0"/>
              <w:rPr>
                <w:sz w:val="20"/>
                <w:szCs w:val="20"/>
                <w:color w:val="auto"/>
              </w:rPr>
            </w:pPr>
            <w:r>
              <w:rPr>
                <w:rFonts w:ascii="Arial" w:cs="Arial" w:eastAsia="Arial" w:hAnsi="Arial"/>
                <w:sz w:val="14"/>
                <w:szCs w:val="14"/>
                <w:color w:val="auto"/>
                <w:w w:val="96"/>
              </w:rPr>
              <w:t>54.</w:t>
            </w:r>
            <w:r>
              <w:rPr>
                <w:rFonts w:ascii="Arial" w:cs="Arial" w:eastAsia="Arial" w:hAnsi="Arial"/>
                <w:sz w:val="14"/>
                <w:szCs w:val="14"/>
                <w:u w:val="single" w:color="auto"/>
                <w:color w:val="auto"/>
                <w:w w:val="96"/>
              </w:rPr>
              <w:t>64%</w:t>
            </w:r>
          </w:p>
        </w:tc>
        <w:tc>
          <w:tcPr>
            <w:tcW w:w="100" w:type="dxa"/>
            <w:vAlign w:val="bottom"/>
            <w:shd w:val="clear" w:color="auto" w:fill="E5E6E6"/>
          </w:tcPr>
          <w:p>
            <w:pPr>
              <w:spacing w:after="0"/>
              <w:rPr>
                <w:sz w:val="15"/>
                <w:szCs w:val="15"/>
                <w:color w:val="auto"/>
              </w:rPr>
            </w:pPr>
          </w:p>
        </w:tc>
      </w:tr>
      <w:tr>
        <w:trPr>
          <w:trHeight w:val="20"/>
        </w:trPr>
        <w:tc>
          <w:tcPr>
            <w:tcW w:w="3420" w:type="dxa"/>
            <w:vAlign w:val="bottom"/>
            <w:tcBorders>
              <w:top w:val="single" w:sz="8" w:color="E5E6E6"/>
            </w:tcBorders>
          </w:tcPr>
          <w:p>
            <w:pPr>
              <w:spacing w:after="0" w:line="20" w:lineRule="exact"/>
              <w:rPr>
                <w:sz w:val="1"/>
                <w:szCs w:val="1"/>
                <w:color w:val="auto"/>
              </w:rPr>
            </w:pPr>
          </w:p>
        </w:tc>
        <w:tc>
          <w:tcPr>
            <w:tcW w:w="1360" w:type="dxa"/>
            <w:vAlign w:val="bottom"/>
            <w:tcBorders>
              <w:top w:val="single" w:sz="8" w:color="E5E6E6"/>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6E6"/>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1077A9"/>
        </w:rPr>
        <w:t>2020 Nonequity Incentive Award Performance Goals</w:t>
      </w:r>
    </w:p>
    <w:p>
      <w:pPr>
        <w:spacing w:after="0" w:line="19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four performance objectives, the assigned weight for each objective, the threshold, target and maximum performance level for each objective and our financial performance under each objective for 2020,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60" w:type="dxa"/>
            <w:vAlign w:val="bottom"/>
            <w:gridSpan w:val="3"/>
            <w:shd w:val="clear" w:color="auto" w:fill="E5E6E6"/>
          </w:tcPr>
          <w:p>
            <w:pPr>
              <w:jc w:val="center"/>
              <w:spacing w:after="0"/>
              <w:rPr>
                <w:sz w:val="20"/>
                <w:szCs w:val="20"/>
                <w:color w:val="auto"/>
              </w:rPr>
            </w:pPr>
            <w:r>
              <w:rPr>
                <w:rFonts w:ascii="Arial" w:cs="Arial" w:eastAsia="Arial" w:hAnsi="Arial"/>
                <w:sz w:val="14"/>
                <w:szCs w:val="14"/>
                <w:color w:val="auto"/>
              </w:rPr>
              <w:t>2020 Corporate Performance Levels</w:t>
            </w: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shd w:val="clear" w:color="auto" w:fill="1077A9"/>
          </w:tcPr>
          <w:p>
            <w:pPr>
              <w:jc w:val="right"/>
              <w:ind w:right="468"/>
              <w:spacing w:after="0"/>
              <w:rPr>
                <w:sz w:val="20"/>
                <w:szCs w:val="20"/>
                <w:color w:val="auto"/>
              </w:rPr>
            </w:pPr>
            <w:r>
              <w:rPr>
                <w:rFonts w:ascii="Arial" w:cs="Arial" w:eastAsia="Arial" w:hAnsi="Arial"/>
                <w:sz w:val="14"/>
                <w:szCs w:val="14"/>
                <w:color w:val="FFFFFF"/>
              </w:rPr>
              <w:t>50%</w:t>
            </w:r>
          </w:p>
        </w:tc>
        <w:tc>
          <w:tcPr>
            <w:tcW w:w="132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100%</w:t>
            </w:r>
          </w:p>
        </w:tc>
        <w:tc>
          <w:tcPr>
            <w:tcW w:w="1380" w:type="dxa"/>
            <w:vAlign w:val="bottom"/>
            <w:shd w:val="clear" w:color="auto" w:fill="1077A9"/>
          </w:tcPr>
          <w:p>
            <w:pPr>
              <w:jc w:val="right"/>
              <w:ind w:right="428"/>
              <w:spacing w:after="0"/>
              <w:rPr>
                <w:sz w:val="20"/>
                <w:szCs w:val="20"/>
                <w:color w:val="auto"/>
              </w:rPr>
            </w:pPr>
            <w:r>
              <w:rPr>
                <w:rFonts w:ascii="Arial" w:cs="Arial" w:eastAsia="Arial" w:hAnsi="Arial"/>
                <w:sz w:val="14"/>
                <w:szCs w:val="14"/>
                <w:color w:val="FFFFFF"/>
              </w:rPr>
              <w:t>150%</w:t>
            </w: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860" w:type="dxa"/>
            <w:vAlign w:val="bottom"/>
            <w:shd w:val="clear" w:color="auto" w:fill="1077A9"/>
          </w:tcPr>
          <w:p>
            <w:pPr>
              <w:ind w:left="900"/>
              <w:spacing w:after="0"/>
              <w:rPr>
                <w:sz w:val="20"/>
                <w:szCs w:val="20"/>
                <w:color w:val="auto"/>
              </w:rPr>
            </w:pPr>
            <w:r>
              <w:rPr>
                <w:rFonts w:ascii="Arial" w:cs="Arial" w:eastAsia="Arial" w:hAnsi="Arial"/>
                <w:sz w:val="14"/>
                <w:szCs w:val="14"/>
                <w:color w:val="FFFFFF"/>
              </w:rPr>
              <w:t>Performance Objective</w:t>
            </w:r>
          </w:p>
        </w:tc>
        <w:tc>
          <w:tcPr>
            <w:tcW w:w="1640" w:type="dxa"/>
            <w:vAlign w:val="bottom"/>
            <w:shd w:val="clear" w:color="auto" w:fill="1077A9"/>
          </w:tcPr>
          <w:p>
            <w:pPr>
              <w:ind w:left="500"/>
              <w:spacing w:after="0"/>
              <w:rPr>
                <w:sz w:val="20"/>
                <w:szCs w:val="20"/>
                <w:color w:val="auto"/>
              </w:rPr>
            </w:pPr>
            <w:r>
              <w:rPr>
                <w:rFonts w:ascii="Arial" w:cs="Arial" w:eastAsia="Arial" w:hAnsi="Arial"/>
                <w:sz w:val="14"/>
                <w:szCs w:val="14"/>
                <w:color w:val="FFFFFF"/>
              </w:rPr>
              <w:t>Overall Weight</w:t>
            </w:r>
          </w:p>
        </w:tc>
        <w:tc>
          <w:tcPr>
            <w:tcW w:w="1360" w:type="dxa"/>
            <w:vAlign w:val="bottom"/>
            <w:shd w:val="clear" w:color="auto" w:fill="1077A9"/>
          </w:tcPr>
          <w:p>
            <w:pPr>
              <w:jc w:val="right"/>
              <w:ind w:right="288"/>
              <w:spacing w:after="0"/>
              <w:rPr>
                <w:sz w:val="20"/>
                <w:szCs w:val="20"/>
                <w:color w:val="auto"/>
              </w:rPr>
            </w:pPr>
            <w:r>
              <w:rPr>
                <w:rFonts w:ascii="Arial" w:cs="Arial" w:eastAsia="Arial" w:hAnsi="Arial"/>
                <w:sz w:val="14"/>
                <w:szCs w:val="14"/>
                <w:color w:val="FFFFFF"/>
              </w:rPr>
              <w:t>Threshold</w:t>
            </w:r>
          </w:p>
        </w:tc>
        <w:tc>
          <w:tcPr>
            <w:tcW w:w="1320" w:type="dxa"/>
            <w:vAlign w:val="bottom"/>
            <w:shd w:val="clear" w:color="auto" w:fill="1077A9"/>
          </w:tcPr>
          <w:p>
            <w:pPr>
              <w:jc w:val="center"/>
              <w:spacing w:after="0"/>
              <w:rPr>
                <w:sz w:val="20"/>
                <w:szCs w:val="20"/>
                <w:color w:val="auto"/>
              </w:rPr>
            </w:pPr>
            <w:r>
              <w:rPr>
                <w:rFonts w:ascii="Arial" w:cs="Arial" w:eastAsia="Arial" w:hAnsi="Arial"/>
                <w:sz w:val="14"/>
                <w:szCs w:val="14"/>
                <w:color w:val="FFFFFF"/>
                <w:w w:val="98"/>
              </w:rPr>
              <w:t>Target</w:t>
            </w:r>
          </w:p>
        </w:tc>
        <w:tc>
          <w:tcPr>
            <w:tcW w:w="1380" w:type="dxa"/>
            <w:vAlign w:val="bottom"/>
            <w:shd w:val="clear" w:color="auto" w:fill="1077A9"/>
          </w:tcPr>
          <w:p>
            <w:pPr>
              <w:jc w:val="right"/>
              <w:ind w:right="288"/>
              <w:spacing w:after="0"/>
              <w:rPr>
                <w:sz w:val="20"/>
                <w:szCs w:val="20"/>
                <w:color w:val="auto"/>
              </w:rPr>
            </w:pPr>
            <w:r>
              <w:rPr>
                <w:rFonts w:ascii="Arial" w:cs="Arial" w:eastAsia="Arial" w:hAnsi="Arial"/>
                <w:sz w:val="14"/>
                <w:szCs w:val="14"/>
                <w:color w:val="FFFFFF"/>
              </w:rPr>
              <w:t>Maximum</w:t>
            </w:r>
          </w:p>
        </w:tc>
        <w:tc>
          <w:tcPr>
            <w:tcW w:w="1360" w:type="dxa"/>
            <w:vAlign w:val="bottom"/>
            <w:tcBorders>
              <w:right w:val="single" w:sz="8" w:color="1077A9"/>
            </w:tcBorders>
            <w:shd w:val="clear" w:color="auto" w:fill="1077A9"/>
          </w:tcPr>
          <w:p>
            <w:pPr>
              <w:jc w:val="right"/>
              <w:ind w:right="248"/>
              <w:spacing w:after="0"/>
              <w:rPr>
                <w:sz w:val="20"/>
                <w:szCs w:val="20"/>
                <w:color w:val="auto"/>
              </w:rPr>
            </w:pPr>
            <w:r>
              <w:rPr>
                <w:rFonts w:ascii="Arial" w:cs="Arial" w:eastAsia="Arial" w:hAnsi="Arial"/>
                <w:sz w:val="14"/>
                <w:szCs w:val="14"/>
                <w:color w:val="FFFFFF"/>
              </w:rPr>
              <w:t>2020 Actual</w:t>
            </w:r>
          </w:p>
        </w:tc>
        <w:tc>
          <w:tcPr>
            <w:tcW w:w="1320" w:type="dxa"/>
            <w:vAlign w:val="bottom"/>
            <w:shd w:val="clear" w:color="auto" w:fill="1077A9"/>
          </w:tcPr>
          <w:p>
            <w:pPr>
              <w:ind w:left="400"/>
              <w:spacing w:after="0"/>
              <w:rPr>
                <w:sz w:val="20"/>
                <w:szCs w:val="20"/>
                <w:color w:val="auto"/>
              </w:rPr>
            </w:pPr>
            <w:r>
              <w:rPr>
                <w:rFonts w:ascii="Arial" w:cs="Arial" w:eastAsia="Arial" w:hAnsi="Arial"/>
                <w:sz w:val="14"/>
                <w:szCs w:val="14"/>
                <w:color w:val="FFFFFF"/>
              </w:rPr>
              <w:t>2020 Weight</w:t>
            </w:r>
          </w:p>
        </w:tc>
        <w:tc>
          <w:tcPr>
            <w:tcW w:w="20" w:type="dxa"/>
            <w:vAlign w:val="bottom"/>
          </w:tcPr>
          <w:p>
            <w:pPr>
              <w:spacing w:after="0"/>
              <w:rPr>
                <w:sz w:val="19"/>
                <w:szCs w:val="19"/>
                <w:color w:val="auto"/>
              </w:rPr>
            </w:pPr>
          </w:p>
        </w:tc>
      </w:tr>
      <w:tr>
        <w:trPr>
          <w:trHeight w:val="216"/>
        </w:trPr>
        <w:tc>
          <w:tcPr>
            <w:tcW w:w="2860" w:type="dxa"/>
            <w:vAlign w:val="bottom"/>
          </w:tcPr>
          <w:p>
            <w:pPr>
              <w:ind w:left="100"/>
              <w:spacing w:after="0"/>
              <w:rPr>
                <w:sz w:val="20"/>
                <w:szCs w:val="20"/>
                <w:color w:val="auto"/>
              </w:rPr>
            </w:pPr>
            <w:r>
              <w:rPr>
                <w:rFonts w:ascii="Arial" w:cs="Arial" w:eastAsia="Arial" w:hAnsi="Arial"/>
                <w:sz w:val="14"/>
                <w:szCs w:val="14"/>
                <w:color w:val="auto"/>
              </w:rPr>
              <w:t>Operating Earnings per Share</w:t>
            </w:r>
          </w:p>
        </w:tc>
        <w:tc>
          <w:tcPr>
            <w:tcW w:w="1640" w:type="dxa"/>
            <w:vAlign w:val="bottom"/>
          </w:tcPr>
          <w:p>
            <w:pPr>
              <w:ind w:left="820"/>
              <w:spacing w:after="0"/>
              <w:rPr>
                <w:sz w:val="20"/>
                <w:szCs w:val="20"/>
                <w:color w:val="auto"/>
              </w:rPr>
            </w:pPr>
            <w:r>
              <w:rPr>
                <w:rFonts w:ascii="Arial" w:cs="Arial" w:eastAsia="Arial" w:hAnsi="Arial"/>
                <w:sz w:val="14"/>
                <w:szCs w:val="14"/>
                <w:color w:val="auto"/>
              </w:rPr>
              <w:t>40.0 %</w:t>
            </w:r>
          </w:p>
        </w:tc>
        <w:tc>
          <w:tcPr>
            <w:tcW w:w="1360" w:type="dxa"/>
            <w:vAlign w:val="bottom"/>
          </w:tcPr>
          <w:p>
            <w:pPr>
              <w:jc w:val="right"/>
              <w:ind w:right="528"/>
              <w:spacing w:after="0"/>
              <w:rPr>
                <w:sz w:val="20"/>
                <w:szCs w:val="20"/>
                <w:color w:val="auto"/>
              </w:rPr>
            </w:pPr>
            <w:r>
              <w:rPr>
                <w:rFonts w:ascii="Arial" w:cs="Arial" w:eastAsia="Arial" w:hAnsi="Arial"/>
                <w:sz w:val="14"/>
                <w:szCs w:val="14"/>
                <w:color w:val="auto"/>
              </w:rPr>
              <w:t>$ 2.30</w:t>
            </w:r>
          </w:p>
        </w:tc>
        <w:tc>
          <w:tcPr>
            <w:tcW w:w="1320" w:type="dxa"/>
            <w:vAlign w:val="bottom"/>
          </w:tcPr>
          <w:p>
            <w:pPr>
              <w:jc w:val="right"/>
              <w:ind w:right="488"/>
              <w:spacing w:after="0"/>
              <w:rPr>
                <w:sz w:val="20"/>
                <w:szCs w:val="20"/>
                <w:color w:val="auto"/>
              </w:rPr>
            </w:pPr>
            <w:r>
              <w:rPr>
                <w:rFonts w:ascii="Arial" w:cs="Arial" w:eastAsia="Arial" w:hAnsi="Arial"/>
                <w:sz w:val="14"/>
                <w:szCs w:val="14"/>
                <w:color w:val="auto"/>
              </w:rPr>
              <w:t>$ 2.37</w:t>
            </w:r>
          </w:p>
        </w:tc>
        <w:tc>
          <w:tcPr>
            <w:tcW w:w="1380" w:type="dxa"/>
            <w:vAlign w:val="bottom"/>
          </w:tcPr>
          <w:p>
            <w:pPr>
              <w:jc w:val="right"/>
              <w:ind w:right="508"/>
              <w:spacing w:after="0"/>
              <w:rPr>
                <w:sz w:val="20"/>
                <w:szCs w:val="20"/>
                <w:color w:val="auto"/>
              </w:rPr>
            </w:pPr>
            <w:r>
              <w:rPr>
                <w:rFonts w:ascii="Arial" w:cs="Arial" w:eastAsia="Arial" w:hAnsi="Arial"/>
                <w:sz w:val="14"/>
                <w:szCs w:val="14"/>
                <w:color w:val="auto"/>
              </w:rPr>
              <w:t>$ 2.42</w:t>
            </w:r>
          </w:p>
        </w:tc>
        <w:tc>
          <w:tcPr>
            <w:tcW w:w="1360" w:type="dxa"/>
            <w:vAlign w:val="bottom"/>
          </w:tcPr>
          <w:p>
            <w:pPr>
              <w:jc w:val="right"/>
              <w:ind w:right="488"/>
              <w:spacing w:after="0" w:line="216" w:lineRule="exact"/>
              <w:rPr>
                <w:sz w:val="20"/>
                <w:szCs w:val="20"/>
                <w:color w:val="auto"/>
              </w:rPr>
            </w:pPr>
            <w:r>
              <w:rPr>
                <w:rFonts w:ascii="Arial" w:cs="Arial" w:eastAsia="Arial" w:hAnsi="Arial"/>
                <w:sz w:val="14"/>
                <w:szCs w:val="14"/>
                <w:color w:val="auto"/>
              </w:rPr>
              <w:t>$ 1.98</w:t>
            </w:r>
            <w:r>
              <w:rPr>
                <w:rFonts w:ascii="Arial" w:cs="Arial" w:eastAsia="Arial" w:hAnsi="Arial"/>
                <w:sz w:val="23"/>
                <w:szCs w:val="23"/>
                <w:color w:val="auto"/>
                <w:vertAlign w:val="superscript"/>
              </w:rPr>
              <w:t>2</w:t>
            </w:r>
          </w:p>
        </w:tc>
        <w:tc>
          <w:tcPr>
            <w:tcW w:w="1320" w:type="dxa"/>
            <w:vAlign w:val="bottom"/>
          </w:tcPr>
          <w:p>
            <w:pPr>
              <w:jc w:val="center"/>
              <w:ind w:left="50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16"/>
        </w:trPr>
        <w:tc>
          <w:tcPr>
            <w:tcW w:w="2860" w:type="dxa"/>
            <w:vAlign w:val="bottom"/>
            <w:shd w:val="clear" w:color="auto" w:fill="E5E6E6"/>
          </w:tcPr>
          <w:p>
            <w:pPr>
              <w:ind w:left="100"/>
              <w:spacing w:after="0" w:line="216" w:lineRule="exact"/>
              <w:rPr>
                <w:sz w:val="20"/>
                <w:szCs w:val="20"/>
                <w:color w:val="auto"/>
              </w:rPr>
            </w:pPr>
            <w:r>
              <w:rPr>
                <w:rFonts w:ascii="Arial" w:cs="Arial" w:eastAsia="Arial" w:hAnsi="Arial"/>
                <w:sz w:val="14"/>
                <w:szCs w:val="14"/>
                <w:color w:val="auto"/>
              </w:rPr>
              <w:t>NPAs / Total Assets</w:t>
            </w:r>
            <w:r>
              <w:rPr>
                <w:rFonts w:ascii="Arial" w:cs="Arial" w:eastAsia="Arial" w:hAnsi="Arial"/>
                <w:sz w:val="23"/>
                <w:szCs w:val="23"/>
                <w:color w:val="auto"/>
                <w:vertAlign w:val="superscript"/>
              </w:rPr>
              <w:t>1</w:t>
            </w:r>
          </w:p>
        </w:tc>
        <w:tc>
          <w:tcPr>
            <w:tcW w:w="1640" w:type="dxa"/>
            <w:vAlign w:val="bottom"/>
            <w:shd w:val="clear" w:color="auto" w:fill="E5E6E6"/>
          </w:tcPr>
          <w:p>
            <w:pPr>
              <w:ind w:left="820"/>
              <w:spacing w:after="0"/>
              <w:rPr>
                <w:sz w:val="20"/>
                <w:szCs w:val="20"/>
                <w:color w:val="auto"/>
              </w:rPr>
            </w:pPr>
            <w:r>
              <w:rPr>
                <w:rFonts w:ascii="Arial" w:cs="Arial" w:eastAsia="Arial" w:hAnsi="Arial"/>
                <w:sz w:val="14"/>
                <w:szCs w:val="14"/>
                <w:color w:val="auto"/>
              </w:rPr>
              <w:t>25.0</w:t>
            </w:r>
          </w:p>
        </w:tc>
        <w:tc>
          <w:tcPr>
            <w:tcW w:w="1360" w:type="dxa"/>
            <w:vAlign w:val="bottom"/>
            <w:shd w:val="clear" w:color="auto" w:fill="E5E6E6"/>
          </w:tcPr>
          <w:p>
            <w:pPr>
              <w:jc w:val="right"/>
              <w:ind w:right="388"/>
              <w:spacing w:after="0"/>
              <w:rPr>
                <w:sz w:val="20"/>
                <w:szCs w:val="20"/>
                <w:color w:val="auto"/>
              </w:rPr>
            </w:pPr>
            <w:r>
              <w:rPr>
                <w:rFonts w:ascii="Arial" w:cs="Arial" w:eastAsia="Arial" w:hAnsi="Arial"/>
                <w:sz w:val="14"/>
                <w:szCs w:val="14"/>
                <w:color w:val="auto"/>
              </w:rPr>
              <w:t>0.58 %</w:t>
            </w:r>
          </w:p>
        </w:tc>
        <w:tc>
          <w:tcPr>
            <w:tcW w:w="132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0.40 %</w:t>
            </w:r>
          </w:p>
        </w:tc>
        <w:tc>
          <w:tcPr>
            <w:tcW w:w="1380" w:type="dxa"/>
            <w:vAlign w:val="bottom"/>
            <w:shd w:val="clear" w:color="auto" w:fill="E5E6E6"/>
          </w:tcPr>
          <w:p>
            <w:pPr>
              <w:jc w:val="right"/>
              <w:ind w:right="348"/>
              <w:spacing w:after="0"/>
              <w:rPr>
                <w:sz w:val="20"/>
                <w:szCs w:val="20"/>
                <w:color w:val="auto"/>
              </w:rPr>
            </w:pPr>
            <w:r>
              <w:rPr>
                <w:rFonts w:ascii="Arial" w:cs="Arial" w:eastAsia="Arial" w:hAnsi="Arial"/>
                <w:sz w:val="14"/>
                <w:szCs w:val="14"/>
                <w:color w:val="auto"/>
              </w:rPr>
              <w:t>0.30 %</w:t>
            </w:r>
          </w:p>
        </w:tc>
        <w:tc>
          <w:tcPr>
            <w:tcW w:w="1360" w:type="dxa"/>
            <w:vAlign w:val="bottom"/>
            <w:tcBorders>
              <w:right w:val="single" w:sz="8" w:color="E5E6E6"/>
            </w:tcBorders>
            <w:shd w:val="clear" w:color="auto" w:fill="E5E6E6"/>
          </w:tcPr>
          <w:p>
            <w:pPr>
              <w:jc w:val="right"/>
              <w:ind w:right="368"/>
              <w:spacing w:after="0"/>
              <w:rPr>
                <w:sz w:val="20"/>
                <w:szCs w:val="20"/>
                <w:color w:val="auto"/>
              </w:rPr>
            </w:pPr>
            <w:r>
              <w:rPr>
                <w:rFonts w:ascii="Arial" w:cs="Arial" w:eastAsia="Arial" w:hAnsi="Arial"/>
                <w:sz w:val="14"/>
                <w:szCs w:val="14"/>
                <w:color w:val="auto"/>
              </w:rPr>
              <w:t>0.35 %</w:t>
            </w:r>
          </w:p>
        </w:tc>
        <w:tc>
          <w:tcPr>
            <w:tcW w:w="1320" w:type="dxa"/>
            <w:vAlign w:val="bottom"/>
            <w:shd w:val="clear" w:color="auto" w:fill="E5E6E6"/>
          </w:tcPr>
          <w:p>
            <w:pPr>
              <w:jc w:val="center"/>
              <w:ind w:left="508"/>
              <w:spacing w:after="0"/>
              <w:rPr>
                <w:sz w:val="20"/>
                <w:szCs w:val="20"/>
                <w:color w:val="auto"/>
              </w:rPr>
            </w:pPr>
            <w:r>
              <w:rPr>
                <w:rFonts w:ascii="Arial" w:cs="Arial" w:eastAsia="Arial" w:hAnsi="Arial"/>
                <w:sz w:val="14"/>
                <w:szCs w:val="14"/>
                <w:color w:val="auto"/>
              </w:rPr>
              <w:t>31.25 %</w:t>
            </w:r>
          </w:p>
        </w:tc>
        <w:tc>
          <w:tcPr>
            <w:tcW w:w="20" w:type="dxa"/>
            <w:vAlign w:val="bottom"/>
          </w:tcPr>
          <w:p>
            <w:pPr>
              <w:spacing w:after="0"/>
              <w:rPr>
                <w:sz w:val="18"/>
                <w:szCs w:val="18"/>
                <w:color w:val="auto"/>
              </w:rPr>
            </w:pPr>
          </w:p>
        </w:tc>
      </w:tr>
      <w:tr>
        <w:trPr>
          <w:trHeight w:val="216"/>
        </w:trPr>
        <w:tc>
          <w:tcPr>
            <w:tcW w:w="2860" w:type="dxa"/>
            <w:vAlign w:val="bottom"/>
          </w:tcPr>
          <w:p>
            <w:pPr>
              <w:ind w:left="100"/>
              <w:spacing w:after="0"/>
              <w:rPr>
                <w:sz w:val="20"/>
                <w:szCs w:val="20"/>
                <w:color w:val="auto"/>
              </w:rPr>
            </w:pPr>
            <w:r>
              <w:rPr>
                <w:rFonts w:ascii="Arial" w:cs="Arial" w:eastAsia="Arial" w:hAnsi="Arial"/>
                <w:sz w:val="14"/>
                <w:szCs w:val="14"/>
                <w:color w:val="auto"/>
              </w:rPr>
              <w:t>Operating Efficiency Ratio</w:t>
            </w:r>
          </w:p>
        </w:tc>
        <w:tc>
          <w:tcPr>
            <w:tcW w:w="1640" w:type="dxa"/>
            <w:vAlign w:val="bottom"/>
          </w:tcPr>
          <w:p>
            <w:pPr>
              <w:ind w:left="820"/>
              <w:spacing w:after="0"/>
              <w:rPr>
                <w:sz w:val="20"/>
                <w:szCs w:val="20"/>
                <w:color w:val="auto"/>
              </w:rPr>
            </w:pPr>
            <w:r>
              <w:rPr>
                <w:rFonts w:ascii="Arial" w:cs="Arial" w:eastAsia="Arial" w:hAnsi="Arial"/>
                <w:sz w:val="14"/>
                <w:szCs w:val="14"/>
                <w:color w:val="auto"/>
              </w:rPr>
              <w:t>20.0</w:t>
            </w: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57.00 %</w:t>
            </w: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55.00 %</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52.00 %</w:t>
            </w:r>
          </w:p>
        </w:tc>
        <w:tc>
          <w:tcPr>
            <w:tcW w:w="1360" w:type="dxa"/>
            <w:vAlign w:val="bottom"/>
          </w:tcPr>
          <w:p>
            <w:pPr>
              <w:jc w:val="right"/>
              <w:ind w:right="328"/>
              <w:spacing w:after="0" w:line="216" w:lineRule="exact"/>
              <w:rPr>
                <w:sz w:val="20"/>
                <w:szCs w:val="20"/>
                <w:color w:val="auto"/>
              </w:rPr>
            </w:pPr>
            <w:r>
              <w:rPr>
                <w:rFonts w:ascii="Arial" w:cs="Arial" w:eastAsia="Arial" w:hAnsi="Arial"/>
                <w:sz w:val="14"/>
                <w:szCs w:val="14"/>
                <w:color w:val="auto"/>
              </w:rPr>
              <w:t>54.64 %</w:t>
            </w:r>
            <w:r>
              <w:rPr>
                <w:rFonts w:ascii="Arial" w:cs="Arial" w:eastAsia="Arial" w:hAnsi="Arial"/>
                <w:sz w:val="23"/>
                <w:szCs w:val="23"/>
                <w:color w:val="auto"/>
                <w:vertAlign w:val="superscript"/>
              </w:rPr>
              <w:t>2</w:t>
            </w:r>
          </w:p>
        </w:tc>
        <w:tc>
          <w:tcPr>
            <w:tcW w:w="1320" w:type="dxa"/>
            <w:vAlign w:val="bottom"/>
          </w:tcPr>
          <w:p>
            <w:pPr>
              <w:jc w:val="center"/>
              <w:ind w:left="508"/>
              <w:spacing w:after="0"/>
              <w:rPr>
                <w:sz w:val="20"/>
                <w:szCs w:val="20"/>
                <w:color w:val="auto"/>
              </w:rPr>
            </w:pPr>
            <w:r>
              <w:rPr>
                <w:rFonts w:ascii="Arial" w:cs="Arial" w:eastAsia="Arial" w:hAnsi="Arial"/>
                <w:sz w:val="14"/>
                <w:szCs w:val="14"/>
                <w:color w:val="auto"/>
              </w:rPr>
              <w:t>21.20 %</w:t>
            </w:r>
          </w:p>
        </w:tc>
        <w:tc>
          <w:tcPr>
            <w:tcW w:w="20" w:type="dxa"/>
            <w:vAlign w:val="bottom"/>
          </w:tcPr>
          <w:p>
            <w:pPr>
              <w:spacing w:after="0"/>
              <w:rPr>
                <w:sz w:val="18"/>
                <w:szCs w:val="18"/>
                <w:color w:val="auto"/>
              </w:rPr>
            </w:pPr>
          </w:p>
        </w:tc>
      </w:tr>
      <w:tr>
        <w:trPr>
          <w:trHeight w:val="210"/>
        </w:trPr>
        <w:tc>
          <w:tcPr>
            <w:tcW w:w="2860" w:type="dxa"/>
            <w:vAlign w:val="bottom"/>
            <w:shd w:val="clear" w:color="auto" w:fill="E5E6E6"/>
          </w:tcPr>
          <w:p>
            <w:pPr>
              <w:ind w:left="100"/>
              <w:spacing w:after="0"/>
              <w:rPr>
                <w:sz w:val="20"/>
                <w:szCs w:val="20"/>
                <w:color w:val="auto"/>
              </w:rPr>
            </w:pPr>
            <w:r>
              <w:rPr>
                <w:rFonts w:ascii="Arial" w:cs="Arial" w:eastAsia="Arial" w:hAnsi="Arial"/>
                <w:sz w:val="14"/>
                <w:szCs w:val="14"/>
                <w:color w:val="auto"/>
              </w:rPr>
              <w:t>Customer Satisfaction Rating</w:t>
            </w:r>
          </w:p>
        </w:tc>
        <w:tc>
          <w:tcPr>
            <w:tcW w:w="1640" w:type="dxa"/>
            <w:vAlign w:val="bottom"/>
            <w:shd w:val="clear" w:color="auto" w:fill="E5E6E6"/>
          </w:tcPr>
          <w:p>
            <w:pPr>
              <w:ind w:left="820"/>
              <w:spacing w:after="0"/>
              <w:rPr>
                <w:sz w:val="20"/>
                <w:szCs w:val="20"/>
                <w:color w:val="auto"/>
              </w:rPr>
            </w:pPr>
            <w:r>
              <w:rPr>
                <w:rFonts w:ascii="Arial" w:cs="Arial" w:eastAsia="Arial" w:hAnsi="Arial"/>
                <w:sz w:val="14"/>
                <w:szCs w:val="14"/>
                <w:color w:val="auto"/>
              </w:rPr>
              <w:t>15.0</w:t>
            </w:r>
          </w:p>
        </w:tc>
        <w:tc>
          <w:tcPr>
            <w:tcW w:w="1360" w:type="dxa"/>
            <w:vAlign w:val="bottom"/>
            <w:shd w:val="clear" w:color="auto" w:fill="E5E6E6"/>
          </w:tcPr>
          <w:p>
            <w:pPr>
              <w:jc w:val="right"/>
              <w:ind w:right="368"/>
              <w:spacing w:after="0"/>
              <w:rPr>
                <w:sz w:val="20"/>
                <w:szCs w:val="20"/>
                <w:color w:val="auto"/>
              </w:rPr>
            </w:pPr>
            <w:r>
              <w:rPr>
                <w:rFonts w:ascii="Arial" w:cs="Arial" w:eastAsia="Arial" w:hAnsi="Arial"/>
                <w:sz w:val="14"/>
                <w:szCs w:val="14"/>
                <w:color w:val="auto"/>
              </w:rPr>
              <w:t>95.50 %</w:t>
            </w:r>
          </w:p>
        </w:tc>
        <w:tc>
          <w:tcPr>
            <w:tcW w:w="1320" w:type="dxa"/>
            <w:vAlign w:val="bottom"/>
            <w:shd w:val="clear" w:color="auto" w:fill="E5E6E6"/>
          </w:tcPr>
          <w:p>
            <w:pPr>
              <w:jc w:val="right"/>
              <w:ind w:right="308"/>
              <w:spacing w:after="0"/>
              <w:rPr>
                <w:sz w:val="20"/>
                <w:szCs w:val="20"/>
                <w:color w:val="auto"/>
              </w:rPr>
            </w:pPr>
            <w:r>
              <w:rPr>
                <w:rFonts w:ascii="Arial" w:cs="Arial" w:eastAsia="Arial" w:hAnsi="Arial"/>
                <w:sz w:val="14"/>
                <w:szCs w:val="14"/>
                <w:color w:val="auto"/>
              </w:rPr>
              <w:t>96.50 %</w:t>
            </w:r>
          </w:p>
        </w:tc>
        <w:tc>
          <w:tcPr>
            <w:tcW w:w="1380" w:type="dxa"/>
            <w:vAlign w:val="bottom"/>
            <w:shd w:val="clear" w:color="auto" w:fill="E5E6E6"/>
          </w:tcPr>
          <w:p>
            <w:pPr>
              <w:jc w:val="right"/>
              <w:ind w:right="348"/>
              <w:spacing w:after="0"/>
              <w:rPr>
                <w:sz w:val="20"/>
                <w:szCs w:val="20"/>
                <w:color w:val="auto"/>
              </w:rPr>
            </w:pPr>
            <w:r>
              <w:rPr>
                <w:rFonts w:ascii="Arial" w:cs="Arial" w:eastAsia="Arial" w:hAnsi="Arial"/>
                <w:sz w:val="14"/>
                <w:szCs w:val="14"/>
                <w:color w:val="auto"/>
              </w:rPr>
              <w:t>97.50 %</w:t>
            </w:r>
          </w:p>
        </w:tc>
        <w:tc>
          <w:tcPr>
            <w:tcW w:w="1360" w:type="dxa"/>
            <w:vAlign w:val="bottom"/>
            <w:tcBorders>
              <w:right w:val="single" w:sz="8" w:color="E5E6E6"/>
            </w:tcBorders>
            <w:shd w:val="clear" w:color="auto" w:fill="E5E6E6"/>
          </w:tcPr>
          <w:p>
            <w:pPr>
              <w:jc w:val="right"/>
              <w:ind w:right="368"/>
              <w:spacing w:after="0"/>
              <w:rPr>
                <w:sz w:val="20"/>
                <w:szCs w:val="20"/>
                <w:color w:val="auto"/>
              </w:rPr>
            </w:pPr>
            <w:r>
              <w:rPr>
                <w:rFonts w:ascii="Arial" w:cs="Arial" w:eastAsia="Arial" w:hAnsi="Arial"/>
                <w:sz w:val="14"/>
                <w:szCs w:val="14"/>
                <w:color w:val="auto"/>
              </w:rPr>
              <w:t>97.40 %</w:t>
            </w:r>
          </w:p>
        </w:tc>
        <w:tc>
          <w:tcPr>
            <w:tcW w:w="1320" w:type="dxa"/>
            <w:vAlign w:val="bottom"/>
            <w:tcBorders>
              <w:bottom w:val="single" w:sz="8" w:color="auto"/>
            </w:tcBorders>
            <w:shd w:val="clear" w:color="auto" w:fill="E5E6E6"/>
          </w:tcPr>
          <w:p>
            <w:pPr>
              <w:jc w:val="center"/>
              <w:ind w:left="508"/>
              <w:spacing w:after="0"/>
              <w:rPr>
                <w:sz w:val="20"/>
                <w:szCs w:val="20"/>
                <w:color w:val="auto"/>
              </w:rPr>
            </w:pPr>
            <w:r>
              <w:rPr>
                <w:rFonts w:ascii="Arial" w:cs="Arial" w:eastAsia="Arial" w:hAnsi="Arial"/>
                <w:sz w:val="14"/>
                <w:szCs w:val="14"/>
                <w:color w:val="auto"/>
              </w:rPr>
              <w:t>21.75 %</w:t>
            </w:r>
          </w:p>
        </w:tc>
        <w:tc>
          <w:tcPr>
            <w:tcW w:w="20" w:type="dxa"/>
            <w:vAlign w:val="bottom"/>
            <w:tcBorders>
              <w:bottom w:val="single" w:sz="8" w:color="auto"/>
            </w:tcBorders>
          </w:tcPr>
          <w:p>
            <w:pPr>
              <w:spacing w:after="0"/>
              <w:rPr>
                <w:sz w:val="18"/>
                <w:szCs w:val="18"/>
                <w:color w:val="auto"/>
              </w:rPr>
            </w:pPr>
          </w:p>
        </w:tc>
      </w:tr>
      <w:tr>
        <w:trPr>
          <w:trHeight w:val="209"/>
        </w:trPr>
        <w:tc>
          <w:tcPr>
            <w:tcW w:w="2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rPr>
              <w:t>74.20 %</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34" w:lineRule="exact"/>
        <w:rPr>
          <w:sz w:val="20"/>
          <w:szCs w:val="20"/>
          <w:color w:val="auto"/>
        </w:rPr>
      </w:pPr>
    </w:p>
    <w:p>
      <w:pPr>
        <w:ind w:left="120" w:hanging="112"/>
        <w:spacing w:after="0"/>
        <w:tabs>
          <w:tab w:leader="none" w:pos="12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NPAs / Total Assets metric excludes restructured loans.</w:t>
      </w:r>
    </w:p>
    <w:p>
      <w:pPr>
        <w:spacing w:after="0" w:line="19" w:lineRule="exact"/>
        <w:rPr>
          <w:sz w:val="20"/>
          <w:szCs w:val="20"/>
          <w:color w:val="auto"/>
        </w:rPr>
      </w:pPr>
    </w:p>
    <w:p>
      <w:pPr>
        <w:jc w:val="both"/>
        <w:ind w:left="120" w:right="60" w:hanging="112"/>
        <w:spacing w:after="0" w:line="193" w:lineRule="auto"/>
        <w:tabs>
          <w:tab w:leader="none" w:pos="12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Both our operating earnings per share and operating efficiency ratio excludes merger-related and other charges. The table below summarizes the reconciliations of these non-GAAP measures to the most directly comparable measures as reported in accordance with GAAP. Please also see related disclosures in United’s Annual Report on Form 10-K for the year ended December 31, 2020 for the non-GAAP to GAAP reconciliation and other relevant information.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0" w:type="dxa"/>
            <w:vAlign w:val="bottom"/>
          </w:tcPr>
          <w:p>
            <w:pPr>
              <w:spacing w:after="0"/>
              <w:rPr>
                <w:sz w:val="17"/>
                <w:szCs w:val="17"/>
                <w:color w:val="auto"/>
              </w:rPr>
            </w:pPr>
          </w:p>
        </w:tc>
        <w:tc>
          <w:tcPr>
            <w:tcW w:w="3900" w:type="dxa"/>
            <w:vAlign w:val="bottom"/>
            <w:shd w:val="clear" w:color="auto" w:fill="1077A9"/>
          </w:tcPr>
          <w:p>
            <w:pPr>
              <w:spacing w:after="0"/>
              <w:rPr>
                <w:sz w:val="17"/>
                <w:szCs w:val="17"/>
                <w:color w:val="auto"/>
              </w:rPr>
            </w:pPr>
          </w:p>
        </w:tc>
        <w:tc>
          <w:tcPr>
            <w:tcW w:w="1720" w:type="dxa"/>
            <w:vAlign w:val="bottom"/>
            <w:gridSpan w:val="3"/>
            <w:shd w:val="clear" w:color="auto" w:fill="1077A9"/>
          </w:tcPr>
          <w:p>
            <w:pPr>
              <w:ind w:left="440"/>
              <w:spacing w:after="0"/>
              <w:rPr>
                <w:sz w:val="20"/>
                <w:szCs w:val="20"/>
                <w:color w:val="auto"/>
              </w:rPr>
            </w:pPr>
            <w:r>
              <w:rPr>
                <w:rFonts w:ascii="Arial" w:cs="Arial" w:eastAsia="Arial" w:hAnsi="Arial"/>
                <w:sz w:val="14"/>
                <w:szCs w:val="14"/>
                <w:color w:val="FFFFFF"/>
              </w:rPr>
              <w:t>For the Year Ended</w:t>
            </w:r>
          </w:p>
        </w:tc>
        <w:tc>
          <w:tcPr>
            <w:tcW w:w="5480" w:type="dxa"/>
            <w:vAlign w:val="bottom"/>
          </w:tcPr>
          <w:p>
            <w:pPr>
              <w:spacing w:after="0"/>
              <w:rPr>
                <w:sz w:val="17"/>
                <w:szCs w:val="17"/>
                <w:color w:val="auto"/>
              </w:rPr>
            </w:pPr>
          </w:p>
        </w:tc>
      </w:tr>
      <w:tr>
        <w:trPr>
          <w:trHeight w:val="191"/>
        </w:trPr>
        <w:tc>
          <w:tcPr>
            <w:tcW w:w="140" w:type="dxa"/>
            <w:vAlign w:val="bottom"/>
          </w:tcPr>
          <w:p>
            <w:pPr>
              <w:spacing w:after="0"/>
              <w:rPr>
                <w:sz w:val="16"/>
                <w:szCs w:val="16"/>
                <w:color w:val="auto"/>
              </w:rPr>
            </w:pPr>
          </w:p>
        </w:tc>
        <w:tc>
          <w:tcPr>
            <w:tcW w:w="3900" w:type="dxa"/>
            <w:vAlign w:val="bottom"/>
            <w:tcBorders>
              <w:bottom w:val="single" w:sz="8" w:color="1077A9"/>
            </w:tcBorders>
            <w:shd w:val="clear" w:color="auto" w:fill="1077A9"/>
          </w:tcPr>
          <w:p>
            <w:pPr>
              <w:spacing w:after="0"/>
              <w:rPr>
                <w:sz w:val="16"/>
                <w:szCs w:val="16"/>
                <w:color w:val="auto"/>
              </w:rPr>
            </w:pPr>
          </w:p>
        </w:tc>
        <w:tc>
          <w:tcPr>
            <w:tcW w:w="1720" w:type="dxa"/>
            <w:vAlign w:val="bottom"/>
            <w:tcBorders>
              <w:bottom w:val="single" w:sz="8" w:color="1077A9"/>
            </w:tcBorders>
            <w:gridSpan w:val="3"/>
            <w:shd w:val="clear" w:color="auto" w:fill="1077A9"/>
          </w:tcPr>
          <w:p>
            <w:pPr>
              <w:ind w:left="420"/>
              <w:spacing w:after="0"/>
              <w:rPr>
                <w:sz w:val="20"/>
                <w:szCs w:val="20"/>
                <w:color w:val="auto"/>
              </w:rPr>
            </w:pPr>
            <w:r>
              <w:rPr>
                <w:rFonts w:ascii="Arial" w:cs="Arial" w:eastAsia="Arial" w:hAnsi="Arial"/>
                <w:sz w:val="14"/>
                <w:szCs w:val="14"/>
                <w:color w:val="FFFFFF"/>
              </w:rPr>
              <w:t>December 31, 2020</w:t>
            </w:r>
          </w:p>
        </w:tc>
        <w:tc>
          <w:tcPr>
            <w:tcW w:w="5480" w:type="dxa"/>
            <w:vAlign w:val="bottom"/>
          </w:tcPr>
          <w:p>
            <w:pPr>
              <w:spacing w:after="0"/>
              <w:rPr>
                <w:sz w:val="16"/>
                <w:szCs w:val="16"/>
                <w:color w:val="auto"/>
              </w:rPr>
            </w:pPr>
          </w:p>
        </w:tc>
      </w:tr>
      <w:tr>
        <w:trPr>
          <w:trHeight w:val="189"/>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Diluted earnings per common share reconciliation</w:t>
            </w: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80" w:type="dxa"/>
            <w:vAlign w:val="bottom"/>
          </w:tcPr>
          <w:p>
            <w:pPr>
              <w:spacing w:after="0"/>
              <w:rPr>
                <w:sz w:val="16"/>
                <w:szCs w:val="16"/>
                <w:color w:val="auto"/>
              </w:rPr>
            </w:pPr>
          </w:p>
        </w:tc>
      </w:tr>
      <w:tr>
        <w:trPr>
          <w:trHeight w:val="189"/>
        </w:trPr>
        <w:tc>
          <w:tcPr>
            <w:tcW w:w="140" w:type="dxa"/>
            <w:vAlign w:val="bottom"/>
          </w:tcPr>
          <w:p>
            <w:pPr>
              <w:spacing w:after="0"/>
              <w:rPr>
                <w:sz w:val="16"/>
                <w:szCs w:val="16"/>
                <w:color w:val="auto"/>
              </w:rPr>
            </w:pPr>
          </w:p>
        </w:tc>
        <w:tc>
          <w:tcPr>
            <w:tcW w:w="3900" w:type="dxa"/>
            <w:vAlign w:val="bottom"/>
            <w:shd w:val="clear" w:color="auto" w:fill="E5E6E6"/>
          </w:tcPr>
          <w:p>
            <w:pPr>
              <w:ind w:left="320"/>
              <w:spacing w:after="0"/>
              <w:rPr>
                <w:sz w:val="20"/>
                <w:szCs w:val="20"/>
                <w:color w:val="auto"/>
              </w:rPr>
            </w:pPr>
            <w:r>
              <w:rPr>
                <w:rFonts w:ascii="Arial" w:cs="Arial" w:eastAsia="Arial" w:hAnsi="Arial"/>
                <w:sz w:val="14"/>
                <w:szCs w:val="14"/>
                <w:color w:val="auto"/>
              </w:rPr>
              <w:t>Diluted earnings per common share - GAAP</w:t>
            </w:r>
          </w:p>
        </w:tc>
        <w:tc>
          <w:tcPr>
            <w:tcW w:w="1600" w:type="dxa"/>
            <w:vAlign w:val="bottom"/>
            <w:gridSpan w:val="2"/>
            <w:shd w:val="clear" w:color="auto" w:fill="E5E6E6"/>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E5E6E6"/>
          </w:tcPr>
          <w:p>
            <w:pPr>
              <w:spacing w:after="0"/>
              <w:rPr>
                <w:sz w:val="16"/>
                <w:szCs w:val="16"/>
                <w:color w:val="auto"/>
              </w:rPr>
            </w:pPr>
          </w:p>
        </w:tc>
        <w:tc>
          <w:tcPr>
            <w:tcW w:w="5480" w:type="dxa"/>
            <w:vAlign w:val="bottom"/>
          </w:tcPr>
          <w:p>
            <w:pPr>
              <w:spacing w:after="0"/>
              <w:rPr>
                <w:sz w:val="16"/>
                <w:szCs w:val="16"/>
                <w:color w:val="auto"/>
              </w:rPr>
            </w:pPr>
          </w:p>
        </w:tc>
      </w:tr>
      <w:tr>
        <w:trPr>
          <w:trHeight w:val="189"/>
        </w:trPr>
        <w:tc>
          <w:tcPr>
            <w:tcW w:w="140" w:type="dxa"/>
            <w:vAlign w:val="bottom"/>
          </w:tcPr>
          <w:p>
            <w:pPr>
              <w:spacing w:after="0"/>
              <w:rPr>
                <w:sz w:val="16"/>
                <w:szCs w:val="16"/>
                <w:color w:val="auto"/>
              </w:rPr>
            </w:pPr>
          </w:p>
        </w:tc>
        <w:tc>
          <w:tcPr>
            <w:tcW w:w="3900" w:type="dxa"/>
            <w:vAlign w:val="bottom"/>
            <w:tcBorders>
              <w:bottom w:val="single" w:sz="8" w:color="E5E6E6"/>
            </w:tcBorders>
          </w:tcPr>
          <w:p>
            <w:pPr>
              <w:ind w:left="320"/>
              <w:spacing w:after="0"/>
              <w:rPr>
                <w:sz w:val="20"/>
                <w:szCs w:val="20"/>
                <w:color w:val="auto"/>
              </w:rPr>
            </w:pPr>
            <w:r>
              <w:rPr>
                <w:rFonts w:ascii="Arial" w:cs="Arial" w:eastAsia="Arial" w:hAnsi="Arial"/>
                <w:sz w:val="14"/>
                <w:szCs w:val="14"/>
                <w:color w:val="auto"/>
              </w:rPr>
              <w:t>Merger-related and other charges</w:t>
            </w:r>
          </w:p>
        </w:tc>
        <w:tc>
          <w:tcPr>
            <w:tcW w:w="900" w:type="dxa"/>
            <w:vAlign w:val="bottom"/>
            <w:tcBorders>
              <w:bottom w:val="single" w:sz="8" w:color="E5E6E6"/>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E5E6E6"/>
            </w:tcBorders>
          </w:tcPr>
          <w:p>
            <w:pPr>
              <w:spacing w:after="0"/>
              <w:rPr>
                <w:sz w:val="16"/>
                <w:szCs w:val="16"/>
                <w:color w:val="auto"/>
              </w:rPr>
            </w:pPr>
          </w:p>
        </w:tc>
        <w:tc>
          <w:tcPr>
            <w:tcW w:w="5480" w:type="dxa"/>
            <w:vAlign w:val="bottom"/>
          </w:tcPr>
          <w:p>
            <w:pPr>
              <w:spacing w:after="0"/>
              <w:rPr>
                <w:sz w:val="16"/>
                <w:szCs w:val="16"/>
                <w:color w:val="auto"/>
              </w:rPr>
            </w:pPr>
          </w:p>
        </w:tc>
      </w:tr>
      <w:tr>
        <w:trPr>
          <w:trHeight w:val="183"/>
        </w:trPr>
        <w:tc>
          <w:tcPr>
            <w:tcW w:w="140" w:type="dxa"/>
            <w:vAlign w:val="bottom"/>
          </w:tcPr>
          <w:p>
            <w:pPr>
              <w:spacing w:after="0"/>
              <w:rPr>
                <w:sz w:val="15"/>
                <w:szCs w:val="15"/>
                <w:color w:val="auto"/>
              </w:rPr>
            </w:pPr>
          </w:p>
        </w:tc>
        <w:tc>
          <w:tcPr>
            <w:tcW w:w="3900" w:type="dxa"/>
            <w:vAlign w:val="bottom"/>
            <w:shd w:val="clear" w:color="auto" w:fill="E5E6E6"/>
          </w:tcPr>
          <w:p>
            <w:pPr>
              <w:ind w:left="480"/>
              <w:spacing w:after="0"/>
              <w:rPr>
                <w:sz w:val="20"/>
                <w:szCs w:val="20"/>
                <w:color w:val="auto"/>
              </w:rPr>
            </w:pPr>
            <w:r>
              <w:rPr>
                <w:rFonts w:ascii="Arial" w:cs="Arial" w:eastAsia="Arial" w:hAnsi="Arial"/>
                <w:sz w:val="14"/>
                <w:szCs w:val="14"/>
                <w:color w:val="auto"/>
              </w:rPr>
              <w:t>Diluted earnings per common share - operating</w:t>
            </w:r>
          </w:p>
        </w:tc>
        <w:tc>
          <w:tcPr>
            <w:tcW w:w="1600" w:type="dxa"/>
            <w:vAlign w:val="bottom"/>
            <w:gridSpan w:val="2"/>
            <w:shd w:val="clear" w:color="auto" w:fill="E5E6E6"/>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E5E6E6"/>
          </w:tcPr>
          <w:p>
            <w:pPr>
              <w:spacing w:after="0"/>
              <w:rPr>
                <w:sz w:val="15"/>
                <w:szCs w:val="15"/>
                <w:color w:val="auto"/>
              </w:rPr>
            </w:pPr>
          </w:p>
        </w:tc>
        <w:tc>
          <w:tcPr>
            <w:tcW w:w="548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3900" w:type="dxa"/>
            <w:vAlign w:val="bottom"/>
            <w:tcBorders>
              <w:top w:val="single" w:sz="8" w:color="E5E6E6"/>
            </w:tcBorders>
          </w:tcPr>
          <w:p>
            <w:pPr>
              <w:spacing w:after="0" w:line="20" w:lineRule="exact"/>
              <w:rPr>
                <w:sz w:val="1"/>
                <w:szCs w:val="1"/>
                <w:color w:val="auto"/>
              </w:rPr>
            </w:pPr>
          </w:p>
        </w:tc>
        <w:tc>
          <w:tcPr>
            <w:tcW w:w="900" w:type="dxa"/>
            <w:vAlign w:val="bottom"/>
            <w:tcBorders>
              <w:top w:val="single" w:sz="8" w:color="E5E6E6"/>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6E6"/>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189"/>
        </w:trPr>
        <w:tc>
          <w:tcPr>
            <w:tcW w:w="140" w:type="dxa"/>
            <w:vAlign w:val="bottom"/>
          </w:tcPr>
          <w:p>
            <w:pPr>
              <w:spacing w:after="0"/>
              <w:rPr>
                <w:sz w:val="16"/>
                <w:szCs w:val="16"/>
                <w:color w:val="auto"/>
              </w:rPr>
            </w:pPr>
          </w:p>
        </w:tc>
        <w:tc>
          <w:tcPr>
            <w:tcW w:w="3900" w:type="dxa"/>
            <w:vAlign w:val="bottom"/>
            <w:shd w:val="clear" w:color="auto" w:fill="E5E6E6"/>
          </w:tcPr>
          <w:p>
            <w:pPr>
              <w:ind w:left="320"/>
              <w:spacing w:after="0"/>
              <w:rPr>
                <w:sz w:val="20"/>
                <w:szCs w:val="20"/>
                <w:color w:val="auto"/>
              </w:rPr>
            </w:pPr>
            <w:r>
              <w:rPr>
                <w:rFonts w:ascii="Arial" w:cs="Arial" w:eastAsia="Arial" w:hAnsi="Arial"/>
                <w:sz w:val="14"/>
                <w:szCs w:val="14"/>
                <w:color w:val="auto"/>
              </w:rPr>
              <w:t>Efficiency ratio reconciliation</w:t>
            </w:r>
          </w:p>
        </w:tc>
        <w:tc>
          <w:tcPr>
            <w:tcW w:w="900" w:type="dxa"/>
            <w:vAlign w:val="bottom"/>
            <w:shd w:val="clear" w:color="auto" w:fill="E5E6E6"/>
          </w:tcPr>
          <w:p>
            <w:pPr>
              <w:spacing w:after="0"/>
              <w:rPr>
                <w:sz w:val="16"/>
                <w:szCs w:val="16"/>
                <w:color w:val="auto"/>
              </w:rPr>
            </w:pPr>
          </w:p>
        </w:tc>
        <w:tc>
          <w:tcPr>
            <w:tcW w:w="700" w:type="dxa"/>
            <w:vAlign w:val="bottom"/>
            <w:shd w:val="clear" w:color="auto" w:fill="E5E6E6"/>
          </w:tcPr>
          <w:p>
            <w:pPr>
              <w:spacing w:after="0"/>
              <w:rPr>
                <w:sz w:val="16"/>
                <w:szCs w:val="16"/>
                <w:color w:val="auto"/>
              </w:rPr>
            </w:pPr>
          </w:p>
        </w:tc>
        <w:tc>
          <w:tcPr>
            <w:tcW w:w="120" w:type="dxa"/>
            <w:vAlign w:val="bottom"/>
            <w:shd w:val="clear" w:color="auto" w:fill="E5E6E6"/>
          </w:tcPr>
          <w:p>
            <w:pPr>
              <w:spacing w:after="0"/>
              <w:rPr>
                <w:sz w:val="16"/>
                <w:szCs w:val="16"/>
                <w:color w:val="auto"/>
              </w:rPr>
            </w:pPr>
          </w:p>
        </w:tc>
        <w:tc>
          <w:tcPr>
            <w:tcW w:w="5480" w:type="dxa"/>
            <w:vAlign w:val="bottom"/>
          </w:tcPr>
          <w:p>
            <w:pPr>
              <w:spacing w:after="0"/>
              <w:rPr>
                <w:sz w:val="16"/>
                <w:szCs w:val="16"/>
                <w:color w:val="auto"/>
              </w:rPr>
            </w:pPr>
          </w:p>
        </w:tc>
      </w:tr>
      <w:tr>
        <w:trPr>
          <w:trHeight w:val="189"/>
        </w:trPr>
        <w:tc>
          <w:tcPr>
            <w:tcW w:w="140" w:type="dxa"/>
            <w:vAlign w:val="bottom"/>
          </w:tcPr>
          <w:p>
            <w:pPr>
              <w:spacing w:after="0"/>
              <w:rPr>
                <w:sz w:val="16"/>
                <w:szCs w:val="16"/>
                <w:color w:val="auto"/>
              </w:rPr>
            </w:pPr>
          </w:p>
        </w:tc>
        <w:tc>
          <w:tcPr>
            <w:tcW w:w="3900" w:type="dxa"/>
            <w:vAlign w:val="bottom"/>
          </w:tcPr>
          <w:p>
            <w:pPr>
              <w:ind w:left="480"/>
              <w:spacing w:after="0"/>
              <w:rPr>
                <w:sz w:val="20"/>
                <w:szCs w:val="20"/>
                <w:color w:val="auto"/>
              </w:rPr>
            </w:pPr>
            <w:r>
              <w:rPr>
                <w:rFonts w:ascii="Arial" w:cs="Arial" w:eastAsia="Arial" w:hAnsi="Arial"/>
                <w:sz w:val="14"/>
                <w:szCs w:val="14"/>
                <w:color w:val="auto"/>
              </w:rPr>
              <w:t>Efficiency ratio - GAAP</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55.71%</w:t>
            </w:r>
          </w:p>
        </w:tc>
        <w:tc>
          <w:tcPr>
            <w:tcW w:w="120" w:type="dxa"/>
            <w:vAlign w:val="bottom"/>
          </w:tcPr>
          <w:p>
            <w:pPr>
              <w:spacing w:after="0"/>
              <w:rPr>
                <w:sz w:val="16"/>
                <w:szCs w:val="16"/>
                <w:color w:val="auto"/>
              </w:rPr>
            </w:pPr>
          </w:p>
        </w:tc>
        <w:tc>
          <w:tcPr>
            <w:tcW w:w="5480" w:type="dxa"/>
            <w:vAlign w:val="bottom"/>
          </w:tcPr>
          <w:p>
            <w:pPr>
              <w:spacing w:after="0"/>
              <w:rPr>
                <w:sz w:val="16"/>
                <w:szCs w:val="16"/>
                <w:color w:val="auto"/>
              </w:rPr>
            </w:pPr>
          </w:p>
        </w:tc>
      </w:tr>
      <w:tr>
        <w:trPr>
          <w:trHeight w:val="189"/>
        </w:trPr>
        <w:tc>
          <w:tcPr>
            <w:tcW w:w="140" w:type="dxa"/>
            <w:vAlign w:val="bottom"/>
          </w:tcPr>
          <w:p>
            <w:pPr>
              <w:spacing w:after="0"/>
              <w:rPr>
                <w:sz w:val="16"/>
                <w:szCs w:val="16"/>
                <w:color w:val="auto"/>
              </w:rPr>
            </w:pPr>
          </w:p>
        </w:tc>
        <w:tc>
          <w:tcPr>
            <w:tcW w:w="3900" w:type="dxa"/>
            <w:vAlign w:val="bottom"/>
            <w:shd w:val="clear" w:color="auto" w:fill="E5E6E6"/>
          </w:tcPr>
          <w:p>
            <w:pPr>
              <w:ind w:left="480"/>
              <w:spacing w:after="0"/>
              <w:rPr>
                <w:sz w:val="20"/>
                <w:szCs w:val="20"/>
                <w:color w:val="auto"/>
              </w:rPr>
            </w:pPr>
            <w:r>
              <w:rPr>
                <w:rFonts w:ascii="Arial" w:cs="Arial" w:eastAsia="Arial" w:hAnsi="Arial"/>
                <w:sz w:val="14"/>
                <w:szCs w:val="14"/>
                <w:color w:val="auto"/>
              </w:rPr>
              <w:t>Merger-related and other charges</w:t>
            </w:r>
          </w:p>
        </w:tc>
        <w:tc>
          <w:tcPr>
            <w:tcW w:w="900" w:type="dxa"/>
            <w:vAlign w:val="bottom"/>
            <w:shd w:val="clear" w:color="auto" w:fill="E5E6E6"/>
          </w:tcPr>
          <w:p>
            <w:pPr>
              <w:spacing w:after="0"/>
              <w:rPr>
                <w:sz w:val="16"/>
                <w:szCs w:val="16"/>
                <w:color w:val="auto"/>
              </w:rPr>
            </w:pPr>
          </w:p>
        </w:tc>
        <w:tc>
          <w:tcPr>
            <w:tcW w:w="700" w:type="dxa"/>
            <w:vAlign w:val="bottom"/>
            <w:tcBorders>
              <w:bottom w:val="single" w:sz="8" w:color="auto"/>
            </w:tcBorders>
            <w:shd w:val="clear" w:color="auto" w:fill="E5E6E6"/>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E5E6E6"/>
          </w:tcPr>
          <w:p>
            <w:pPr>
              <w:spacing w:after="0"/>
              <w:rPr>
                <w:sz w:val="16"/>
                <w:szCs w:val="16"/>
                <w:color w:val="auto"/>
              </w:rPr>
            </w:pPr>
          </w:p>
        </w:tc>
        <w:tc>
          <w:tcPr>
            <w:tcW w:w="5480" w:type="dxa"/>
            <w:vAlign w:val="bottom"/>
          </w:tcPr>
          <w:p>
            <w:pPr>
              <w:spacing w:after="0"/>
              <w:rPr>
                <w:sz w:val="16"/>
                <w:szCs w:val="16"/>
                <w:color w:val="auto"/>
              </w:rPr>
            </w:pPr>
          </w:p>
        </w:tc>
      </w:tr>
      <w:tr>
        <w:trPr>
          <w:trHeight w:val="223"/>
        </w:trPr>
        <w:tc>
          <w:tcPr>
            <w:tcW w:w="140" w:type="dxa"/>
            <w:vAlign w:val="bottom"/>
          </w:tcPr>
          <w:p>
            <w:pPr>
              <w:spacing w:after="0"/>
              <w:rPr>
                <w:sz w:val="19"/>
                <w:szCs w:val="19"/>
                <w:color w:val="auto"/>
              </w:rPr>
            </w:pPr>
          </w:p>
        </w:tc>
        <w:tc>
          <w:tcPr>
            <w:tcW w:w="3900" w:type="dxa"/>
            <w:vAlign w:val="bottom"/>
          </w:tcPr>
          <w:p>
            <w:pPr>
              <w:ind w:left="620"/>
              <w:spacing w:after="0"/>
              <w:rPr>
                <w:sz w:val="20"/>
                <w:szCs w:val="20"/>
                <w:color w:val="auto"/>
              </w:rPr>
            </w:pPr>
            <w:r>
              <w:rPr>
                <w:rFonts w:ascii="Arial" w:cs="Arial" w:eastAsia="Arial" w:hAnsi="Arial"/>
                <w:sz w:val="14"/>
                <w:szCs w:val="14"/>
                <w:color w:val="auto"/>
              </w:rPr>
              <w:t>Efficiency ratio - operating</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54.56%</w:t>
            </w: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197"/>
        </w:trPr>
        <w:tc>
          <w:tcPr>
            <w:tcW w:w="140" w:type="dxa"/>
            <w:vAlign w:val="bottom"/>
            <w:tcBorders>
              <w:bottom w:val="single" w:sz="8" w:color="E5E6E6"/>
            </w:tcBorders>
          </w:tcPr>
          <w:p>
            <w:pPr>
              <w:spacing w:after="0"/>
              <w:rPr>
                <w:sz w:val="17"/>
                <w:szCs w:val="17"/>
                <w:color w:val="auto"/>
              </w:rPr>
            </w:pPr>
          </w:p>
        </w:tc>
        <w:tc>
          <w:tcPr>
            <w:tcW w:w="3900" w:type="dxa"/>
            <w:vAlign w:val="bottom"/>
            <w:tcBorders>
              <w:top w:val="single" w:sz="8" w:color="E5E6E6"/>
              <w:bottom w:val="single" w:sz="8" w:color="E5E6E6"/>
            </w:tcBorders>
          </w:tcPr>
          <w:p>
            <w:pPr>
              <w:spacing w:after="0"/>
              <w:rPr>
                <w:sz w:val="17"/>
                <w:szCs w:val="17"/>
                <w:color w:val="auto"/>
              </w:rPr>
            </w:pPr>
          </w:p>
        </w:tc>
        <w:tc>
          <w:tcPr>
            <w:tcW w:w="900" w:type="dxa"/>
            <w:vAlign w:val="bottom"/>
            <w:tcBorders>
              <w:top w:val="single" w:sz="8" w:color="E5E6E6"/>
              <w:bottom w:val="single" w:sz="8" w:color="E5E6E6"/>
            </w:tcBorders>
          </w:tcPr>
          <w:p>
            <w:pPr>
              <w:spacing w:after="0"/>
              <w:rPr>
                <w:sz w:val="17"/>
                <w:szCs w:val="17"/>
                <w:color w:val="auto"/>
              </w:rPr>
            </w:pPr>
          </w:p>
        </w:tc>
        <w:tc>
          <w:tcPr>
            <w:tcW w:w="700" w:type="dxa"/>
            <w:vAlign w:val="bottom"/>
            <w:tcBorders>
              <w:top w:val="single" w:sz="8" w:color="auto"/>
              <w:bottom w:val="single" w:sz="8" w:color="E5E6E6"/>
            </w:tcBorders>
          </w:tcPr>
          <w:p>
            <w:pPr>
              <w:spacing w:after="0"/>
              <w:rPr>
                <w:sz w:val="17"/>
                <w:szCs w:val="17"/>
                <w:color w:val="auto"/>
              </w:rPr>
            </w:pPr>
          </w:p>
        </w:tc>
        <w:tc>
          <w:tcPr>
            <w:tcW w:w="120" w:type="dxa"/>
            <w:vAlign w:val="bottom"/>
            <w:tcBorders>
              <w:top w:val="single" w:sz="8" w:color="E5E6E6"/>
              <w:bottom w:val="single" w:sz="8" w:color="E5E6E6"/>
            </w:tcBorders>
          </w:tcPr>
          <w:p>
            <w:pPr>
              <w:spacing w:after="0"/>
              <w:rPr>
                <w:sz w:val="17"/>
                <w:szCs w:val="17"/>
                <w:color w:val="auto"/>
              </w:rPr>
            </w:pPr>
          </w:p>
        </w:tc>
        <w:tc>
          <w:tcPr>
            <w:tcW w:w="5480" w:type="dxa"/>
            <w:vAlign w:val="bottom"/>
            <w:tcBorders>
              <w:bottom w:val="single" w:sz="8" w:color="E5E6E6"/>
            </w:tcBorders>
          </w:tcPr>
          <w:p>
            <w:pPr>
              <w:spacing w:after="0"/>
              <w:rPr>
                <w:sz w:val="17"/>
                <w:szCs w:val="17"/>
                <w:color w:val="auto"/>
              </w:rPr>
            </w:pPr>
          </w:p>
        </w:tc>
      </w:tr>
    </w:tbl>
    <w:p>
      <w:pPr>
        <w:spacing w:after="0" w:line="269"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payout percentage, based on our financial performance for each objective in 2020, was 74.20%. As described below, the Talent and Compensation Committee exercised discretion to increase the payout percentage.</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order to qualify for an annual incentive award, individual performance must also meet expectations of the CEO, the Talent and Compensation Committee and the Board. The CEO evaluates and reports to the Talent and Compensation Committee on the performance of each of the other NEOs, in each case versus previously established goals. The Talent and Compensation Committee also has input into each NEO’s performance evaluation. The Talent and Compensation Committee evaluates the performance of the CEO primarily based on Company performance relative to the strategic plan and annual business plan.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1077A9"/>
        </w:rPr>
        <w:t>2020 Nonequity Incentive Award Opportunities</w:t>
      </w:r>
    </w:p>
    <w:p>
      <w:pPr>
        <w:spacing w:after="0" w:line="19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2020, the Talent and Compensation Committee established the annual nonequity incentive award opportunities under the Management Incentive Plan as a percentage of base salary. Target award opportunities were designed to provide for total cash compensation that rewards executives for driving our success and are competitive with general practices within our peer group. The 2020 potential nonequity incentive award payments, expressed as a percentage of base salary,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121920</wp:posOffset>
            </wp:positionV>
            <wp:extent cx="8890" cy="274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121920</wp:posOffset>
            </wp:positionV>
            <wp:extent cx="8255" cy="274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121920</wp:posOffset>
            </wp:positionV>
            <wp:extent cx="8255" cy="274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121920</wp:posOffset>
            </wp:positionV>
            <wp:extent cx="8890" cy="274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121920</wp:posOffset>
            </wp:positionV>
            <wp:extent cx="8890" cy="274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121920</wp:posOffset>
            </wp:positionV>
            <wp:extent cx="8255" cy="274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27432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40" w:type="dxa"/>
            <w:vAlign w:val="bottom"/>
            <w:vMerge w:val="restart"/>
            <w:shd w:val="clear" w:color="auto" w:fill="1077A9"/>
          </w:tcPr>
          <w:p>
            <w:pPr>
              <w:ind w:left="100"/>
              <w:spacing w:after="0"/>
              <w:rPr>
                <w:sz w:val="20"/>
                <w:szCs w:val="20"/>
                <w:color w:val="auto"/>
              </w:rPr>
            </w:pPr>
            <w:r>
              <w:rPr>
                <w:rFonts w:ascii="Arial" w:cs="Arial" w:eastAsia="Arial" w:hAnsi="Arial"/>
                <w:sz w:val="14"/>
                <w:szCs w:val="14"/>
                <w:color w:val="FFFFFF"/>
              </w:rPr>
              <w:t>Name</w:t>
            </w:r>
          </w:p>
        </w:tc>
        <w:tc>
          <w:tcPr>
            <w:tcW w:w="1580" w:type="dxa"/>
            <w:vAlign w:val="bottom"/>
            <w:vMerge w:val="restart"/>
            <w:shd w:val="clear" w:color="auto" w:fill="1077A9"/>
          </w:tcPr>
          <w:p>
            <w:pPr>
              <w:ind w:left="420"/>
              <w:spacing w:after="0"/>
              <w:rPr>
                <w:sz w:val="20"/>
                <w:szCs w:val="20"/>
                <w:color w:val="auto"/>
              </w:rPr>
            </w:pPr>
            <w:r>
              <w:rPr>
                <w:rFonts w:ascii="Arial" w:cs="Arial" w:eastAsia="Arial" w:hAnsi="Arial"/>
                <w:sz w:val="14"/>
                <w:szCs w:val="14"/>
                <w:color w:val="FFFFFF"/>
              </w:rPr>
              <w:t>Threshold</w:t>
            </w:r>
          </w:p>
        </w:tc>
        <w:tc>
          <w:tcPr>
            <w:tcW w:w="1740" w:type="dxa"/>
            <w:vAlign w:val="bottom"/>
            <w:shd w:val="clear" w:color="auto" w:fill="1077A9"/>
          </w:tcPr>
          <w:p>
            <w:pPr>
              <w:jc w:val="right"/>
              <w:ind w:right="308"/>
              <w:spacing w:after="0"/>
              <w:rPr>
                <w:sz w:val="20"/>
                <w:szCs w:val="20"/>
                <w:color w:val="auto"/>
              </w:rPr>
            </w:pPr>
            <w:r>
              <w:rPr>
                <w:rFonts w:ascii="Arial" w:cs="Arial" w:eastAsia="Arial" w:hAnsi="Arial"/>
                <w:sz w:val="14"/>
                <w:szCs w:val="14"/>
                <w:color w:val="FFFFFF"/>
              </w:rPr>
              <w:t>Threshold Incentive</w:t>
            </w:r>
          </w:p>
        </w:tc>
        <w:tc>
          <w:tcPr>
            <w:tcW w:w="1460" w:type="dxa"/>
            <w:vAlign w:val="bottom"/>
            <w:vMerge w:val="restart"/>
            <w:shd w:val="clear" w:color="auto" w:fill="1077A9"/>
          </w:tcPr>
          <w:p>
            <w:pPr>
              <w:jc w:val="right"/>
              <w:ind w:right="628"/>
              <w:spacing w:after="0"/>
              <w:rPr>
                <w:sz w:val="20"/>
                <w:szCs w:val="20"/>
                <w:color w:val="auto"/>
              </w:rPr>
            </w:pPr>
            <w:r>
              <w:rPr>
                <w:rFonts w:ascii="Arial" w:cs="Arial" w:eastAsia="Arial" w:hAnsi="Arial"/>
                <w:sz w:val="14"/>
                <w:szCs w:val="14"/>
                <w:color w:val="FFFFFF"/>
              </w:rPr>
              <w:t>Target</w:t>
            </w:r>
          </w:p>
        </w:tc>
        <w:tc>
          <w:tcPr>
            <w:tcW w:w="1600" w:type="dxa"/>
            <w:vAlign w:val="bottom"/>
            <w:shd w:val="clear" w:color="auto" w:fill="1077A9"/>
          </w:tcPr>
          <w:p>
            <w:pPr>
              <w:jc w:val="right"/>
              <w:ind w:right="348"/>
              <w:spacing w:after="0"/>
              <w:rPr>
                <w:sz w:val="20"/>
                <w:szCs w:val="20"/>
                <w:color w:val="auto"/>
              </w:rPr>
            </w:pPr>
            <w:r>
              <w:rPr>
                <w:rFonts w:ascii="Arial" w:cs="Arial" w:eastAsia="Arial" w:hAnsi="Arial"/>
                <w:sz w:val="14"/>
                <w:szCs w:val="14"/>
                <w:color w:val="FFFFFF"/>
              </w:rPr>
              <w:t>Target Incentive</w:t>
            </w:r>
          </w:p>
        </w:tc>
        <w:tc>
          <w:tcPr>
            <w:tcW w:w="1460" w:type="dxa"/>
            <w:vAlign w:val="bottom"/>
            <w:vMerge w:val="restart"/>
            <w:shd w:val="clear" w:color="auto" w:fill="1077A9"/>
          </w:tcPr>
          <w:p>
            <w:pPr>
              <w:jc w:val="right"/>
              <w:ind w:right="448"/>
              <w:spacing w:after="0"/>
              <w:rPr>
                <w:sz w:val="20"/>
                <w:szCs w:val="20"/>
                <w:color w:val="auto"/>
              </w:rPr>
            </w:pPr>
            <w:r>
              <w:rPr>
                <w:rFonts w:ascii="Arial" w:cs="Arial" w:eastAsia="Arial" w:hAnsi="Arial"/>
                <w:sz w:val="14"/>
                <w:szCs w:val="14"/>
                <w:color w:val="FFFFFF"/>
              </w:rPr>
              <w:t>Maximum</w:t>
            </w:r>
          </w:p>
        </w:tc>
        <w:tc>
          <w:tcPr>
            <w:tcW w:w="1460" w:type="dxa"/>
            <w:vAlign w:val="bottom"/>
            <w:shd w:val="clear" w:color="auto" w:fill="1077A9"/>
          </w:tcPr>
          <w:p>
            <w:pPr>
              <w:jc w:val="right"/>
              <w:ind w:right="28"/>
              <w:spacing w:after="0"/>
              <w:rPr>
                <w:sz w:val="20"/>
                <w:szCs w:val="20"/>
                <w:color w:val="auto"/>
              </w:rPr>
            </w:pPr>
            <w:r>
              <w:rPr>
                <w:rFonts w:ascii="Arial" w:cs="Arial" w:eastAsia="Arial" w:hAnsi="Arial"/>
                <w:sz w:val="14"/>
                <w:szCs w:val="14"/>
                <w:color w:val="FFFFFF"/>
              </w:rPr>
              <w:t>Maximum Incentive</w:t>
            </w:r>
          </w:p>
        </w:tc>
        <w:tc>
          <w:tcPr>
            <w:tcW w:w="0" w:type="dxa"/>
            <w:vAlign w:val="bottom"/>
          </w:tcPr>
          <w:p>
            <w:pPr>
              <w:spacing w:after="0"/>
              <w:rPr>
                <w:sz w:val="1"/>
                <w:szCs w:val="1"/>
                <w:color w:val="auto"/>
              </w:rPr>
            </w:pPr>
          </w:p>
        </w:tc>
      </w:tr>
      <w:tr>
        <w:trPr>
          <w:trHeight w:val="91"/>
        </w:trPr>
        <w:tc>
          <w:tcPr>
            <w:tcW w:w="1940" w:type="dxa"/>
            <w:vAlign w:val="bottom"/>
            <w:vMerge w:val="continue"/>
            <w:shd w:val="clear" w:color="auto" w:fill="1077A9"/>
          </w:tcPr>
          <w:p>
            <w:pPr>
              <w:spacing w:after="0"/>
              <w:rPr>
                <w:sz w:val="7"/>
                <w:szCs w:val="7"/>
                <w:color w:val="auto"/>
              </w:rPr>
            </w:pPr>
          </w:p>
        </w:tc>
        <w:tc>
          <w:tcPr>
            <w:tcW w:w="1580" w:type="dxa"/>
            <w:vAlign w:val="bottom"/>
            <w:vMerge w:val="continue"/>
            <w:shd w:val="clear" w:color="auto" w:fill="1077A9"/>
          </w:tcPr>
          <w:p>
            <w:pPr>
              <w:spacing w:after="0"/>
              <w:rPr>
                <w:sz w:val="7"/>
                <w:szCs w:val="7"/>
                <w:color w:val="auto"/>
              </w:rPr>
            </w:pPr>
          </w:p>
        </w:tc>
        <w:tc>
          <w:tcPr>
            <w:tcW w:w="1740" w:type="dxa"/>
            <w:vAlign w:val="bottom"/>
            <w:vMerge w:val="restart"/>
            <w:shd w:val="clear" w:color="auto" w:fill="1077A9"/>
          </w:tcPr>
          <w:p>
            <w:pPr>
              <w:jc w:val="right"/>
              <w:ind w:right="548"/>
              <w:spacing w:after="0"/>
              <w:rPr>
                <w:sz w:val="20"/>
                <w:szCs w:val="20"/>
                <w:color w:val="auto"/>
              </w:rPr>
            </w:pPr>
            <w:r>
              <w:rPr>
                <w:rFonts w:ascii="Arial" w:cs="Arial" w:eastAsia="Arial" w:hAnsi="Arial"/>
                <w:sz w:val="14"/>
                <w:szCs w:val="14"/>
                <w:color w:val="FFFFFF"/>
              </w:rPr>
              <w:t>Payment ($)</w:t>
            </w:r>
          </w:p>
        </w:tc>
        <w:tc>
          <w:tcPr>
            <w:tcW w:w="1460" w:type="dxa"/>
            <w:vAlign w:val="bottom"/>
            <w:vMerge w:val="continue"/>
            <w:shd w:val="clear" w:color="auto" w:fill="1077A9"/>
          </w:tcPr>
          <w:p>
            <w:pPr>
              <w:spacing w:after="0"/>
              <w:rPr>
                <w:sz w:val="7"/>
                <w:szCs w:val="7"/>
                <w:color w:val="auto"/>
              </w:rPr>
            </w:pPr>
          </w:p>
        </w:tc>
        <w:tc>
          <w:tcPr>
            <w:tcW w:w="1600" w:type="dxa"/>
            <w:vAlign w:val="bottom"/>
            <w:vMerge w:val="restart"/>
            <w:shd w:val="clear" w:color="auto" w:fill="1077A9"/>
          </w:tcPr>
          <w:p>
            <w:pPr>
              <w:jc w:val="right"/>
              <w:ind w:right="468"/>
              <w:spacing w:after="0"/>
              <w:rPr>
                <w:sz w:val="20"/>
                <w:szCs w:val="20"/>
                <w:color w:val="auto"/>
              </w:rPr>
            </w:pPr>
            <w:r>
              <w:rPr>
                <w:rFonts w:ascii="Arial" w:cs="Arial" w:eastAsia="Arial" w:hAnsi="Arial"/>
                <w:sz w:val="14"/>
                <w:szCs w:val="14"/>
                <w:color w:val="FFFFFF"/>
              </w:rPr>
              <w:t>Payment ($)</w:t>
            </w:r>
          </w:p>
        </w:tc>
        <w:tc>
          <w:tcPr>
            <w:tcW w:w="1460" w:type="dxa"/>
            <w:vAlign w:val="bottom"/>
            <w:vMerge w:val="continue"/>
            <w:shd w:val="clear" w:color="auto" w:fill="1077A9"/>
          </w:tcPr>
          <w:p>
            <w:pPr>
              <w:spacing w:after="0"/>
              <w:rPr>
                <w:sz w:val="7"/>
                <w:szCs w:val="7"/>
                <w:color w:val="auto"/>
              </w:rPr>
            </w:pPr>
          </w:p>
        </w:tc>
        <w:tc>
          <w:tcPr>
            <w:tcW w:w="1460" w:type="dxa"/>
            <w:vAlign w:val="bottom"/>
            <w:vMerge w:val="restart"/>
            <w:shd w:val="clear" w:color="auto" w:fill="1077A9"/>
          </w:tcPr>
          <w:p>
            <w:pPr>
              <w:jc w:val="right"/>
              <w:ind w:right="268"/>
              <w:spacing w:after="0"/>
              <w:rPr>
                <w:sz w:val="20"/>
                <w:szCs w:val="20"/>
                <w:color w:val="auto"/>
              </w:rPr>
            </w:pPr>
            <w:r>
              <w:rPr>
                <w:rFonts w:ascii="Arial" w:cs="Arial" w:eastAsia="Arial" w:hAnsi="Arial"/>
                <w:sz w:val="14"/>
                <w:szCs w:val="14"/>
                <w:color w:val="FFFFFF"/>
              </w:rPr>
              <w:t>Payment ($)</w:t>
            </w:r>
          </w:p>
        </w:tc>
        <w:tc>
          <w:tcPr>
            <w:tcW w:w="0" w:type="dxa"/>
            <w:vAlign w:val="bottom"/>
          </w:tcPr>
          <w:p>
            <w:pPr>
              <w:spacing w:after="0"/>
              <w:rPr>
                <w:sz w:val="1"/>
                <w:szCs w:val="1"/>
                <w:color w:val="auto"/>
              </w:rPr>
            </w:pPr>
          </w:p>
        </w:tc>
      </w:tr>
      <w:tr>
        <w:trPr>
          <w:trHeight w:val="100"/>
        </w:trPr>
        <w:tc>
          <w:tcPr>
            <w:tcW w:w="1940" w:type="dxa"/>
            <w:vAlign w:val="bottom"/>
            <w:tcBorders>
              <w:bottom w:val="single" w:sz="8" w:color="1077A9"/>
            </w:tcBorders>
            <w:shd w:val="clear" w:color="auto" w:fill="1077A9"/>
          </w:tcPr>
          <w:p>
            <w:pPr>
              <w:spacing w:after="0"/>
              <w:rPr>
                <w:sz w:val="8"/>
                <w:szCs w:val="8"/>
                <w:color w:val="auto"/>
              </w:rPr>
            </w:pPr>
          </w:p>
        </w:tc>
        <w:tc>
          <w:tcPr>
            <w:tcW w:w="1580" w:type="dxa"/>
            <w:vAlign w:val="bottom"/>
            <w:tcBorders>
              <w:bottom w:val="single" w:sz="8" w:color="1077A9"/>
            </w:tcBorders>
            <w:shd w:val="clear" w:color="auto" w:fill="1077A9"/>
          </w:tcPr>
          <w:p>
            <w:pPr>
              <w:spacing w:after="0"/>
              <w:rPr>
                <w:sz w:val="8"/>
                <w:szCs w:val="8"/>
                <w:color w:val="auto"/>
              </w:rPr>
            </w:pPr>
          </w:p>
        </w:tc>
        <w:tc>
          <w:tcPr>
            <w:tcW w:w="1740" w:type="dxa"/>
            <w:vAlign w:val="bottom"/>
            <w:tcBorders>
              <w:bottom w:val="single" w:sz="8" w:color="1077A9"/>
            </w:tcBorders>
            <w:vMerge w:val="continue"/>
            <w:shd w:val="clear" w:color="auto" w:fill="1077A9"/>
          </w:tcPr>
          <w:p>
            <w:pPr>
              <w:spacing w:after="0"/>
              <w:rPr>
                <w:sz w:val="8"/>
                <w:szCs w:val="8"/>
                <w:color w:val="auto"/>
              </w:rPr>
            </w:pPr>
          </w:p>
        </w:tc>
        <w:tc>
          <w:tcPr>
            <w:tcW w:w="1460" w:type="dxa"/>
            <w:vAlign w:val="bottom"/>
            <w:tcBorders>
              <w:bottom w:val="single" w:sz="8" w:color="1077A9"/>
            </w:tcBorders>
            <w:shd w:val="clear" w:color="auto" w:fill="1077A9"/>
          </w:tcPr>
          <w:p>
            <w:pPr>
              <w:spacing w:after="0"/>
              <w:rPr>
                <w:sz w:val="8"/>
                <w:szCs w:val="8"/>
                <w:color w:val="auto"/>
              </w:rPr>
            </w:pPr>
          </w:p>
        </w:tc>
        <w:tc>
          <w:tcPr>
            <w:tcW w:w="1600" w:type="dxa"/>
            <w:vAlign w:val="bottom"/>
            <w:tcBorders>
              <w:bottom w:val="single" w:sz="8" w:color="1077A9"/>
            </w:tcBorders>
            <w:vMerge w:val="continue"/>
            <w:shd w:val="clear" w:color="auto" w:fill="1077A9"/>
          </w:tcPr>
          <w:p>
            <w:pPr>
              <w:spacing w:after="0"/>
              <w:rPr>
                <w:sz w:val="8"/>
                <w:szCs w:val="8"/>
                <w:color w:val="auto"/>
              </w:rPr>
            </w:pPr>
          </w:p>
        </w:tc>
        <w:tc>
          <w:tcPr>
            <w:tcW w:w="1460" w:type="dxa"/>
            <w:vAlign w:val="bottom"/>
            <w:tcBorders>
              <w:bottom w:val="single" w:sz="8" w:color="1077A9"/>
            </w:tcBorders>
            <w:shd w:val="clear" w:color="auto" w:fill="1077A9"/>
          </w:tcPr>
          <w:p>
            <w:pPr>
              <w:spacing w:after="0"/>
              <w:rPr>
                <w:sz w:val="8"/>
                <w:szCs w:val="8"/>
                <w:color w:val="auto"/>
              </w:rPr>
            </w:pPr>
          </w:p>
        </w:tc>
        <w:tc>
          <w:tcPr>
            <w:tcW w:w="1460" w:type="dxa"/>
            <w:vAlign w:val="bottom"/>
            <w:tcBorders>
              <w:bottom w:val="single" w:sz="8" w:color="1077A9"/>
            </w:tcBorders>
            <w:vMerge w:val="continue"/>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1580" w:type="dxa"/>
            <w:vAlign w:val="bottom"/>
          </w:tcPr>
          <w:p>
            <w:pPr>
              <w:ind w:left="1060"/>
              <w:spacing w:after="0"/>
              <w:rPr>
                <w:sz w:val="20"/>
                <w:szCs w:val="20"/>
                <w:color w:val="auto"/>
              </w:rPr>
            </w:pPr>
            <w:r>
              <w:rPr>
                <w:rFonts w:ascii="Arial" w:cs="Arial" w:eastAsia="Arial" w:hAnsi="Arial"/>
                <w:sz w:val="14"/>
                <w:szCs w:val="14"/>
                <w:color w:val="auto"/>
              </w:rPr>
              <w:t>50.0%</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$397,500</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100.0%</w:t>
            </w:r>
          </w:p>
        </w:tc>
        <w:tc>
          <w:tcPr>
            <w:tcW w:w="1600" w:type="dxa"/>
            <w:vAlign w:val="bottom"/>
          </w:tcPr>
          <w:p>
            <w:pPr>
              <w:jc w:val="right"/>
              <w:ind w:right="248"/>
              <w:spacing w:after="0"/>
              <w:rPr>
                <w:sz w:val="20"/>
                <w:szCs w:val="20"/>
                <w:color w:val="auto"/>
              </w:rPr>
            </w:pPr>
            <w:r>
              <w:rPr>
                <w:rFonts w:ascii="Arial" w:cs="Arial" w:eastAsia="Arial" w:hAnsi="Arial"/>
                <w:sz w:val="14"/>
                <w:szCs w:val="14"/>
                <w:color w:val="auto"/>
              </w:rPr>
              <w:t>$795,000</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150.0%</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$1,192,500</w:t>
            </w:r>
          </w:p>
        </w:tc>
        <w:tc>
          <w:tcPr>
            <w:tcW w:w="0" w:type="dxa"/>
            <w:vAlign w:val="bottom"/>
          </w:tcPr>
          <w:p>
            <w:pPr>
              <w:spacing w:after="0"/>
              <w:rPr>
                <w:sz w:val="1"/>
                <w:szCs w:val="1"/>
                <w:color w:val="auto"/>
              </w:rPr>
            </w:pPr>
          </w:p>
        </w:tc>
      </w:tr>
      <w:tr>
        <w:trPr>
          <w:trHeight w:val="189"/>
        </w:trPr>
        <w:tc>
          <w:tcPr>
            <w:tcW w:w="1940" w:type="dxa"/>
            <w:vAlign w:val="bottom"/>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1580" w:type="dxa"/>
            <w:vAlign w:val="bottom"/>
            <w:shd w:val="clear" w:color="auto" w:fill="E5E6E6"/>
          </w:tcPr>
          <w:p>
            <w:pPr>
              <w:ind w:left="1060"/>
              <w:spacing w:after="0"/>
              <w:rPr>
                <w:sz w:val="20"/>
                <w:szCs w:val="20"/>
                <w:color w:val="auto"/>
              </w:rPr>
            </w:pPr>
            <w:r>
              <w:rPr>
                <w:rFonts w:ascii="Arial" w:cs="Arial" w:eastAsia="Arial" w:hAnsi="Arial"/>
                <w:sz w:val="14"/>
                <w:szCs w:val="14"/>
                <w:color w:val="auto"/>
              </w:rPr>
              <w:t>32.5</w:t>
            </w:r>
          </w:p>
        </w:tc>
        <w:tc>
          <w:tcPr>
            <w:tcW w:w="174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138,125</w:t>
            </w:r>
          </w:p>
        </w:tc>
        <w:tc>
          <w:tcPr>
            <w:tcW w:w="1460" w:type="dxa"/>
            <w:vAlign w:val="bottom"/>
            <w:shd w:val="clear" w:color="auto" w:fill="E5E6E6"/>
          </w:tcPr>
          <w:p>
            <w:pPr>
              <w:jc w:val="right"/>
              <w:ind w:right="228"/>
              <w:spacing w:after="0"/>
              <w:rPr>
                <w:sz w:val="20"/>
                <w:szCs w:val="20"/>
                <w:color w:val="auto"/>
              </w:rPr>
            </w:pPr>
            <w:r>
              <w:rPr>
                <w:rFonts w:ascii="Arial" w:cs="Arial" w:eastAsia="Arial" w:hAnsi="Arial"/>
                <w:sz w:val="14"/>
                <w:szCs w:val="14"/>
                <w:color w:val="auto"/>
              </w:rPr>
              <w:t>65.0</w:t>
            </w:r>
          </w:p>
        </w:tc>
        <w:tc>
          <w:tcPr>
            <w:tcW w:w="160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276,250</w:t>
            </w:r>
          </w:p>
        </w:tc>
        <w:tc>
          <w:tcPr>
            <w:tcW w:w="146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97.5</w:t>
            </w:r>
          </w:p>
        </w:tc>
        <w:tc>
          <w:tcPr>
            <w:tcW w:w="1460" w:type="dxa"/>
            <w:vAlign w:val="bottom"/>
            <w:shd w:val="clear" w:color="auto" w:fill="E5E6E6"/>
          </w:tcPr>
          <w:p>
            <w:pPr>
              <w:jc w:val="right"/>
              <w:ind w:right="28"/>
              <w:spacing w:after="0"/>
              <w:rPr>
                <w:sz w:val="20"/>
                <w:szCs w:val="20"/>
                <w:color w:val="auto"/>
              </w:rPr>
            </w:pPr>
            <w:r>
              <w:rPr>
                <w:rFonts w:ascii="Arial" w:cs="Arial" w:eastAsia="Arial" w:hAnsi="Arial"/>
                <w:sz w:val="14"/>
                <w:szCs w:val="14"/>
                <w:color w:val="auto"/>
              </w:rPr>
              <w:t>414,375</w:t>
            </w:r>
          </w:p>
        </w:tc>
        <w:tc>
          <w:tcPr>
            <w:tcW w:w="0" w:type="dxa"/>
            <w:vAlign w:val="bottom"/>
          </w:tcPr>
          <w:p>
            <w:pPr>
              <w:spacing w:after="0"/>
              <w:rPr>
                <w:sz w:val="1"/>
                <w:szCs w:val="1"/>
                <w:color w:val="auto"/>
              </w:rPr>
            </w:pPr>
          </w:p>
        </w:tc>
      </w:tr>
      <w:tr>
        <w:trPr>
          <w:trHeight w:val="189"/>
        </w:trPr>
        <w:tc>
          <w:tcPr>
            <w:tcW w:w="194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1580" w:type="dxa"/>
            <w:vAlign w:val="bottom"/>
          </w:tcPr>
          <w:p>
            <w:pPr>
              <w:ind w:left="1060"/>
              <w:spacing w:after="0"/>
              <w:rPr>
                <w:sz w:val="20"/>
                <w:szCs w:val="20"/>
                <w:color w:val="auto"/>
              </w:rPr>
            </w:pPr>
            <w:r>
              <w:rPr>
                <w:rFonts w:ascii="Arial" w:cs="Arial" w:eastAsia="Arial" w:hAnsi="Arial"/>
                <w:sz w:val="14"/>
                <w:szCs w:val="14"/>
                <w:color w:val="auto"/>
              </w:rPr>
              <w:t>32.5</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138,125</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65.0</w:t>
            </w:r>
          </w:p>
        </w:tc>
        <w:tc>
          <w:tcPr>
            <w:tcW w:w="1600" w:type="dxa"/>
            <w:vAlign w:val="bottom"/>
          </w:tcPr>
          <w:p>
            <w:pPr>
              <w:jc w:val="right"/>
              <w:ind w:right="248"/>
              <w:spacing w:after="0"/>
              <w:rPr>
                <w:sz w:val="20"/>
                <w:szCs w:val="20"/>
                <w:color w:val="auto"/>
              </w:rPr>
            </w:pPr>
            <w:r>
              <w:rPr>
                <w:rFonts w:ascii="Arial" w:cs="Arial" w:eastAsia="Arial" w:hAnsi="Arial"/>
                <w:sz w:val="14"/>
                <w:szCs w:val="14"/>
                <w:color w:val="auto"/>
              </w:rPr>
              <w:t>276,250</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97.5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414,375</w:t>
            </w:r>
          </w:p>
        </w:tc>
        <w:tc>
          <w:tcPr>
            <w:tcW w:w="0" w:type="dxa"/>
            <w:vAlign w:val="bottom"/>
          </w:tcPr>
          <w:p>
            <w:pPr>
              <w:spacing w:after="0"/>
              <w:rPr>
                <w:sz w:val="1"/>
                <w:szCs w:val="1"/>
                <w:color w:val="auto"/>
              </w:rPr>
            </w:pPr>
          </w:p>
        </w:tc>
      </w:tr>
      <w:tr>
        <w:trPr>
          <w:trHeight w:val="189"/>
        </w:trPr>
        <w:tc>
          <w:tcPr>
            <w:tcW w:w="1940" w:type="dxa"/>
            <w:vAlign w:val="bottom"/>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1580" w:type="dxa"/>
            <w:vAlign w:val="bottom"/>
            <w:shd w:val="clear" w:color="auto" w:fill="E5E6E6"/>
          </w:tcPr>
          <w:p>
            <w:pPr>
              <w:ind w:left="1060"/>
              <w:spacing w:after="0"/>
              <w:rPr>
                <w:sz w:val="20"/>
                <w:szCs w:val="20"/>
                <w:color w:val="auto"/>
              </w:rPr>
            </w:pPr>
            <w:r>
              <w:rPr>
                <w:rFonts w:ascii="Arial" w:cs="Arial" w:eastAsia="Arial" w:hAnsi="Arial"/>
                <w:sz w:val="14"/>
                <w:szCs w:val="14"/>
                <w:color w:val="auto"/>
              </w:rPr>
              <w:t>30.0</w:t>
            </w:r>
          </w:p>
        </w:tc>
        <w:tc>
          <w:tcPr>
            <w:tcW w:w="174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120,000</w:t>
            </w:r>
          </w:p>
        </w:tc>
        <w:tc>
          <w:tcPr>
            <w:tcW w:w="1460" w:type="dxa"/>
            <w:vAlign w:val="bottom"/>
            <w:shd w:val="clear" w:color="auto" w:fill="E5E6E6"/>
          </w:tcPr>
          <w:p>
            <w:pPr>
              <w:jc w:val="right"/>
              <w:ind w:right="228"/>
              <w:spacing w:after="0"/>
              <w:rPr>
                <w:sz w:val="20"/>
                <w:szCs w:val="20"/>
                <w:color w:val="auto"/>
              </w:rPr>
            </w:pPr>
            <w:r>
              <w:rPr>
                <w:rFonts w:ascii="Arial" w:cs="Arial" w:eastAsia="Arial" w:hAnsi="Arial"/>
                <w:sz w:val="14"/>
                <w:szCs w:val="14"/>
                <w:color w:val="auto"/>
              </w:rPr>
              <w:t>60.0</w:t>
            </w:r>
          </w:p>
        </w:tc>
        <w:tc>
          <w:tcPr>
            <w:tcW w:w="160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240,000</w:t>
            </w:r>
          </w:p>
        </w:tc>
        <w:tc>
          <w:tcPr>
            <w:tcW w:w="146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90.0</w:t>
            </w:r>
          </w:p>
        </w:tc>
        <w:tc>
          <w:tcPr>
            <w:tcW w:w="1460" w:type="dxa"/>
            <w:vAlign w:val="bottom"/>
            <w:shd w:val="clear" w:color="auto" w:fill="E5E6E6"/>
          </w:tcPr>
          <w:p>
            <w:pPr>
              <w:jc w:val="right"/>
              <w:ind w:right="28"/>
              <w:spacing w:after="0"/>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E5E6E6"/>
            </w:tcBorders>
          </w:tcPr>
          <w:p>
            <w:pPr>
              <w:ind w:left="100"/>
              <w:spacing w:after="0"/>
              <w:rPr>
                <w:sz w:val="20"/>
                <w:szCs w:val="20"/>
                <w:color w:val="auto"/>
              </w:rPr>
            </w:pPr>
            <w:r>
              <w:rPr>
                <w:rFonts w:ascii="Arial" w:cs="Arial" w:eastAsia="Arial" w:hAnsi="Arial"/>
                <w:sz w:val="14"/>
                <w:szCs w:val="14"/>
                <w:color w:val="auto"/>
              </w:rPr>
              <w:t>Melinda Davis Lux</w:t>
            </w:r>
          </w:p>
        </w:tc>
        <w:tc>
          <w:tcPr>
            <w:tcW w:w="1580" w:type="dxa"/>
            <w:vAlign w:val="bottom"/>
            <w:tcBorders>
              <w:bottom w:val="single" w:sz="8" w:color="E5E6E6"/>
            </w:tcBorders>
          </w:tcPr>
          <w:p>
            <w:pPr>
              <w:ind w:left="1060"/>
              <w:spacing w:after="0"/>
              <w:rPr>
                <w:sz w:val="20"/>
                <w:szCs w:val="20"/>
                <w:color w:val="auto"/>
              </w:rPr>
            </w:pPr>
            <w:r>
              <w:rPr>
                <w:rFonts w:ascii="Arial" w:cs="Arial" w:eastAsia="Arial" w:hAnsi="Arial"/>
                <w:sz w:val="14"/>
                <w:szCs w:val="14"/>
                <w:color w:val="auto"/>
              </w:rPr>
              <w:t>27.5</w:t>
            </w:r>
          </w:p>
        </w:tc>
        <w:tc>
          <w:tcPr>
            <w:tcW w:w="1740" w:type="dxa"/>
            <w:vAlign w:val="bottom"/>
            <w:tcBorders>
              <w:bottom w:val="single" w:sz="8" w:color="E5E6E6"/>
            </w:tcBorders>
          </w:tcPr>
          <w:p>
            <w:pPr>
              <w:jc w:val="right"/>
              <w:ind w:right="328"/>
              <w:spacing w:after="0"/>
              <w:rPr>
                <w:sz w:val="20"/>
                <w:szCs w:val="20"/>
                <w:color w:val="auto"/>
              </w:rPr>
            </w:pPr>
            <w:r>
              <w:rPr>
                <w:rFonts w:ascii="Arial" w:cs="Arial" w:eastAsia="Arial" w:hAnsi="Arial"/>
                <w:sz w:val="14"/>
                <w:szCs w:val="14"/>
                <w:color w:val="auto"/>
              </w:rPr>
              <w:t>96,250</w:t>
            </w:r>
          </w:p>
        </w:tc>
        <w:tc>
          <w:tcPr>
            <w:tcW w:w="1460" w:type="dxa"/>
            <w:vAlign w:val="bottom"/>
            <w:tcBorders>
              <w:bottom w:val="single" w:sz="8" w:color="E5E6E6"/>
            </w:tcBorders>
          </w:tcPr>
          <w:p>
            <w:pPr>
              <w:jc w:val="right"/>
              <w:ind w:right="228"/>
              <w:spacing w:after="0"/>
              <w:rPr>
                <w:sz w:val="20"/>
                <w:szCs w:val="20"/>
                <w:color w:val="auto"/>
              </w:rPr>
            </w:pPr>
            <w:r>
              <w:rPr>
                <w:rFonts w:ascii="Arial" w:cs="Arial" w:eastAsia="Arial" w:hAnsi="Arial"/>
                <w:sz w:val="14"/>
                <w:szCs w:val="14"/>
                <w:color w:val="auto"/>
              </w:rPr>
              <w:t>55.0</w:t>
            </w:r>
          </w:p>
        </w:tc>
        <w:tc>
          <w:tcPr>
            <w:tcW w:w="1600" w:type="dxa"/>
            <w:vAlign w:val="bottom"/>
            <w:tcBorders>
              <w:bottom w:val="single" w:sz="8" w:color="E5E6E6"/>
            </w:tcBorders>
          </w:tcPr>
          <w:p>
            <w:pPr>
              <w:jc w:val="right"/>
              <w:ind w:right="248"/>
              <w:spacing w:after="0"/>
              <w:rPr>
                <w:sz w:val="20"/>
                <w:szCs w:val="20"/>
                <w:color w:val="auto"/>
              </w:rPr>
            </w:pPr>
            <w:r>
              <w:rPr>
                <w:rFonts w:ascii="Arial" w:cs="Arial" w:eastAsia="Arial" w:hAnsi="Arial"/>
                <w:sz w:val="14"/>
                <w:szCs w:val="14"/>
                <w:color w:val="auto"/>
              </w:rPr>
              <w:t>192,500</w:t>
            </w:r>
          </w:p>
        </w:tc>
        <w:tc>
          <w:tcPr>
            <w:tcW w:w="1460" w:type="dxa"/>
            <w:vAlign w:val="bottom"/>
            <w:tcBorders>
              <w:bottom w:val="single" w:sz="8" w:color="E5E6E6"/>
            </w:tcBorders>
          </w:tcPr>
          <w:p>
            <w:pPr>
              <w:jc w:val="right"/>
              <w:ind w:right="148"/>
              <w:spacing w:after="0"/>
              <w:rPr>
                <w:sz w:val="20"/>
                <w:szCs w:val="20"/>
                <w:color w:val="auto"/>
              </w:rPr>
            </w:pPr>
            <w:r>
              <w:rPr>
                <w:rFonts w:ascii="Arial" w:cs="Arial" w:eastAsia="Arial" w:hAnsi="Arial"/>
                <w:sz w:val="14"/>
                <w:szCs w:val="14"/>
                <w:color w:val="auto"/>
              </w:rPr>
              <w:t>82.5</w:t>
            </w:r>
          </w:p>
        </w:tc>
        <w:tc>
          <w:tcPr>
            <w:tcW w:w="1460" w:type="dxa"/>
            <w:vAlign w:val="bottom"/>
            <w:tcBorders>
              <w:bottom w:val="single" w:sz="8" w:color="E5E6E6"/>
            </w:tcBorders>
          </w:tcPr>
          <w:p>
            <w:pPr>
              <w:jc w:val="right"/>
              <w:ind w:right="28"/>
              <w:spacing w:after="0"/>
              <w:rPr>
                <w:sz w:val="20"/>
                <w:szCs w:val="20"/>
                <w:color w:val="auto"/>
              </w:rPr>
            </w:pPr>
            <w:r>
              <w:rPr>
                <w:rFonts w:ascii="Arial" w:cs="Arial" w:eastAsia="Arial" w:hAnsi="Arial"/>
                <w:sz w:val="14"/>
                <w:szCs w:val="14"/>
                <w:color w:val="auto"/>
              </w:rPr>
              <w:t>288,750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Threshold, target and maximum incentive payments in the chart above are based on base salaries approved in 2020 effective at year-end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1077A9"/>
        </w:rPr>
        <w:t>2020 Nonequity Incentive Award Payouts</w:t>
      </w:r>
    </w:p>
    <w:p>
      <w:pPr>
        <w:spacing w:after="0" w:line="19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payout level under our annual nonequity incentive award program in 2020, based on actual results of the four performance objectives, would have been 74.20% of the target payout level.</w:t>
      </w:r>
    </w:p>
    <w:p>
      <w:pPr>
        <w:spacing w:after="0" w:line="18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evaluating the 2020 payout percentage, the Talent and Compensation Committee took into consideration the extraordinary circumstances during 2020 that challenged leadership teams, both specific to the banking industry and across all industries, as well as the response of our executive management in addressing those challenges. This included efforts to protect our employees and human capital on both an operational and emotional level during the pandemic, to implement the Paycheck Protection Program (“PPP”) to provide financial relief to customers and to manage the business and achieve strong financial results in the face of extreme market volatility and uncertainty.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Talent and Compensation Committee considered that, during 2020, among other highlights, the Company:</w:t>
      </w:r>
    </w:p>
    <w:p>
      <w:pPr>
        <w:spacing w:after="0" w:line="194" w:lineRule="exact"/>
        <w:rPr>
          <w:sz w:val="20"/>
          <w:szCs w:val="20"/>
          <w:color w:val="auto"/>
        </w:rPr>
      </w:pPr>
    </w:p>
    <w:p>
      <w:pPr>
        <w:ind w:left="560" w:hanging="296"/>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Completed the acquisition of Seaside National Bank &amp; Trust</w:t>
      </w:r>
    </w:p>
    <w:p>
      <w:pPr>
        <w:ind w:left="560" w:hanging="29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Processed nearly 11,000 PPP applications, totaling $1.3 billion in PPP loans adding nearly 3500 new customers as a result</w:t>
      </w:r>
    </w:p>
    <w:p>
      <w:pPr>
        <w:ind w:left="560" w:hanging="29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Processed PPP loan forgiveness applications for approximately 52% of PPP loans, or $671 million</w:t>
      </w:r>
    </w:p>
    <w:p>
      <w:pPr>
        <w:ind w:left="560" w:right="160" w:hanging="29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Closed $2.14 billion in mortgages in 2020, nearly doubling the then-record volume of $1.11 billion in 2019; We nearly tripled the fees generated by our mortgage business from $27.1 million in 2019 to $76.1 million in 2020</w:t>
      </w:r>
    </w:p>
    <w:p>
      <w:pPr>
        <w:spacing w:after="0" w:line="1" w:lineRule="exact"/>
        <w:rPr>
          <w:rFonts w:ascii="Arial" w:cs="Arial" w:eastAsia="Arial" w:hAnsi="Arial"/>
          <w:sz w:val="18"/>
          <w:szCs w:val="18"/>
          <w:color w:val="auto"/>
        </w:rPr>
      </w:pPr>
    </w:p>
    <w:p>
      <w:pPr>
        <w:ind w:left="560" w:hanging="29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Experienced record loan growth and deposit growth</w:t>
      </w:r>
    </w:p>
    <w:p>
      <w:pPr>
        <w:ind w:left="560" w:right="200" w:hanging="29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Leveraged our investment in digital channels to continue to communicate with and serve our customers, seeing an increase of more than 15% in visitors to ucbi.com and a 132% increase in online account opening compared to 2019; During 2020, 14% of all new consumer deposit accounts opened online</w:t>
      </w:r>
    </w:p>
    <w:p>
      <w:pPr>
        <w:spacing w:after="0" w:line="2" w:lineRule="exact"/>
        <w:rPr>
          <w:rFonts w:ascii="Arial" w:cs="Arial" w:eastAsia="Arial" w:hAnsi="Arial"/>
          <w:sz w:val="18"/>
          <w:szCs w:val="18"/>
          <w:color w:val="auto"/>
        </w:rPr>
      </w:pPr>
    </w:p>
    <w:p>
      <w:pPr>
        <w:ind w:left="560" w:hanging="29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Completed a public offering of $100 million of preferred stock and $100 million in senior notes</w:t>
      </w:r>
    </w:p>
    <w:p>
      <w:pPr>
        <w:ind w:left="560" w:right="360" w:hanging="29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Created a new “Power of U” Diversity and Inclusion Council focused on ensuring United remains a place where all employees feel they are welcome and can be successful, as well as a new Community Development and Engagement department to focus our community impact results</w:t>
      </w:r>
    </w:p>
    <w:p>
      <w:pPr>
        <w:spacing w:after="0" w:line="2" w:lineRule="exact"/>
        <w:rPr>
          <w:rFonts w:ascii="Arial" w:cs="Arial" w:eastAsia="Arial" w:hAnsi="Arial"/>
          <w:sz w:val="18"/>
          <w:szCs w:val="18"/>
          <w:color w:val="auto"/>
        </w:rPr>
      </w:pPr>
    </w:p>
    <w:p>
      <w:pPr>
        <w:ind w:left="560" w:hanging="29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Recognized by J.D. Power as having the highest customer satisfaction score in the Southeast</w:t>
      </w:r>
    </w:p>
    <w:p>
      <w:pPr>
        <w:ind w:left="560" w:hanging="296"/>
        <w:spacing w:after="0" w:line="234"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Recognized by Forbes as one of the “100 Best Banks in America”</w:t>
      </w:r>
    </w:p>
    <w:p>
      <w:pPr>
        <w:ind w:left="560" w:hanging="296"/>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Named one of the Best Banks to Work for by American Banker for the fourth consecutive year</w:t>
      </w:r>
    </w:p>
    <w:p>
      <w:pPr>
        <w:spacing w:after="0" w:line="19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During 2020, United took the opportunity afforded from the PPP fees earned in 2020 to contribute $10 million to the United Community Bank Foundation. The $10 million contribution was approved by the executive management team and the Board to improve the economic vitality and quality of life in the communities served by United. When the 2020 efficiency ratio is adjusted for the $10 million discretionary contribution to the Foundation, the nonequity incentive award payout percentage increases to 79.23%.</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impact of adopting CECL negatively impacted our performance beyond what was anticipated in the performance measures approved by the Talent and Compensation Committee at the beginning of the year. The combined effect of CECL adoption and downward revisions of economic forecasts resulting from the Coronavirus (COVID-19) pandemic magnified the impact on our provision for credit losses in 2020. Also, as a result of our acquisition of Seaside National Bank &amp; Trust, we recognized an additional provision for credit losses of $11.2 million from including the Seaside National Bank &amp; Trust loans in our CECL model for the first time. None of these impacts could have been anticipated at the time the performance goals were set, and both negatively impacted operating earnings per share, the most heavily weighted performance measure used in determining nonequity incentive award payouts. Had the 2020 provision for loan losses been more in line with the amount budgeted for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ind w:right="20"/>
        <w:spacing w:after="0" w:line="238" w:lineRule="auto"/>
        <w:rPr>
          <w:sz w:val="20"/>
          <w:szCs w:val="20"/>
          <w:color w:val="auto"/>
        </w:rPr>
      </w:pPr>
      <w:r>
        <w:rPr>
          <w:rFonts w:ascii="Arial" w:cs="Arial" w:eastAsia="Arial" w:hAnsi="Arial"/>
          <w:sz w:val="18"/>
          <w:szCs w:val="18"/>
          <w:color w:val="auto"/>
        </w:rPr>
        <w:t>which was reasonably expected absent the impact of the COVID-19 pandemic, operating earnings per share would have been approximately 55 cents higher, which alone would have increased the payout percentage to 134%. Other key performance measures such as pre-tax pre-provision operating earnings per share would have been unaffected by the impact of CECL. Based on those considerations and also the changes to the 2021 performance objectives described below, the Talent and Compensation Committee exercised its discretion to adjust the payout level and awarded each executive officer a payout of 95% of his or her target payout level relative to 2020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Applying the payout level equal to 95% of base salary, our NEOs earned the following nonequity incentive awards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126365</wp:posOffset>
            </wp:positionV>
            <wp:extent cx="8890" cy="274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126365</wp:posOffset>
            </wp:positionV>
            <wp:extent cx="8255" cy="274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126365</wp:posOffset>
            </wp:positionV>
            <wp:extent cx="8890" cy="274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80" w:type="dxa"/>
            <w:vAlign w:val="bottom"/>
            <w:vMerge w:val="restart"/>
            <w:shd w:val="clear" w:color="auto" w:fill="1077A9"/>
          </w:tcPr>
          <w:p>
            <w:pPr>
              <w:ind w:left="100"/>
              <w:spacing w:after="0"/>
              <w:rPr>
                <w:sz w:val="20"/>
                <w:szCs w:val="20"/>
                <w:color w:val="auto"/>
              </w:rPr>
            </w:pPr>
            <w:r>
              <w:rPr>
                <w:rFonts w:ascii="Arial" w:cs="Arial" w:eastAsia="Arial" w:hAnsi="Arial"/>
                <w:sz w:val="14"/>
                <w:szCs w:val="14"/>
                <w:color w:val="FFFFFF"/>
              </w:rPr>
              <w:t>Name</w:t>
            </w:r>
          </w:p>
        </w:tc>
        <w:tc>
          <w:tcPr>
            <w:tcW w:w="4020" w:type="dxa"/>
            <w:vAlign w:val="bottom"/>
            <w:vMerge w:val="restart"/>
            <w:shd w:val="clear" w:color="auto" w:fill="1077A9"/>
          </w:tcPr>
          <w:p>
            <w:pPr>
              <w:jc w:val="right"/>
              <w:ind w:right="288"/>
              <w:spacing w:after="0"/>
              <w:rPr>
                <w:sz w:val="20"/>
                <w:szCs w:val="20"/>
                <w:color w:val="auto"/>
              </w:rPr>
            </w:pPr>
            <w:r>
              <w:rPr>
                <w:rFonts w:ascii="Arial" w:cs="Arial" w:eastAsia="Arial" w:hAnsi="Arial"/>
                <w:sz w:val="14"/>
                <w:szCs w:val="14"/>
                <w:color w:val="FFFFFF"/>
              </w:rPr>
              <w:t>2020 Award ($)</w:t>
            </w:r>
          </w:p>
        </w:tc>
        <w:tc>
          <w:tcPr>
            <w:tcW w:w="1640" w:type="dxa"/>
            <w:vAlign w:val="bottom"/>
            <w:shd w:val="clear" w:color="auto" w:fill="1077A9"/>
          </w:tcPr>
          <w:p>
            <w:pPr>
              <w:ind w:left="240"/>
              <w:spacing w:after="0"/>
              <w:rPr>
                <w:sz w:val="20"/>
                <w:szCs w:val="20"/>
                <w:color w:val="auto"/>
              </w:rPr>
            </w:pPr>
            <w:r>
              <w:rPr>
                <w:rFonts w:ascii="Arial" w:cs="Arial" w:eastAsia="Arial" w:hAnsi="Arial"/>
                <w:sz w:val="14"/>
                <w:szCs w:val="14"/>
                <w:color w:val="FFFFFF"/>
              </w:rPr>
              <w:t>Award as % of</w:t>
            </w:r>
          </w:p>
        </w:tc>
        <w:tc>
          <w:tcPr>
            <w:tcW w:w="1400" w:type="dxa"/>
            <w:vAlign w:val="bottom"/>
            <w:shd w:val="clear" w:color="auto" w:fill="1077A9"/>
          </w:tcPr>
          <w:p>
            <w:pPr>
              <w:ind w:left="200"/>
              <w:spacing w:after="0"/>
              <w:rPr>
                <w:sz w:val="20"/>
                <w:szCs w:val="20"/>
                <w:color w:val="auto"/>
              </w:rPr>
            </w:pPr>
            <w:r>
              <w:rPr>
                <w:rFonts w:ascii="Arial" w:cs="Arial" w:eastAsia="Arial" w:hAnsi="Arial"/>
                <w:sz w:val="14"/>
                <w:szCs w:val="14"/>
                <w:color w:val="FFFFFF"/>
              </w:rPr>
              <w:t>Award as % of</w:t>
            </w:r>
          </w:p>
        </w:tc>
        <w:tc>
          <w:tcPr>
            <w:tcW w:w="0" w:type="dxa"/>
            <w:vAlign w:val="bottom"/>
          </w:tcPr>
          <w:p>
            <w:pPr>
              <w:spacing w:after="0"/>
              <w:rPr>
                <w:sz w:val="1"/>
                <w:szCs w:val="1"/>
                <w:color w:val="auto"/>
              </w:rPr>
            </w:pPr>
          </w:p>
        </w:tc>
      </w:tr>
      <w:tr>
        <w:trPr>
          <w:trHeight w:val="91"/>
        </w:trPr>
        <w:tc>
          <w:tcPr>
            <w:tcW w:w="4180" w:type="dxa"/>
            <w:vAlign w:val="bottom"/>
            <w:vMerge w:val="continue"/>
            <w:shd w:val="clear" w:color="auto" w:fill="1077A9"/>
          </w:tcPr>
          <w:p>
            <w:pPr>
              <w:spacing w:after="0"/>
              <w:rPr>
                <w:sz w:val="7"/>
                <w:szCs w:val="7"/>
                <w:color w:val="auto"/>
              </w:rPr>
            </w:pPr>
          </w:p>
        </w:tc>
        <w:tc>
          <w:tcPr>
            <w:tcW w:w="4020" w:type="dxa"/>
            <w:vAlign w:val="bottom"/>
            <w:vMerge w:val="continue"/>
            <w:shd w:val="clear" w:color="auto" w:fill="1077A9"/>
          </w:tcPr>
          <w:p>
            <w:pPr>
              <w:spacing w:after="0"/>
              <w:rPr>
                <w:sz w:val="7"/>
                <w:szCs w:val="7"/>
                <w:color w:val="auto"/>
              </w:rPr>
            </w:pPr>
          </w:p>
        </w:tc>
        <w:tc>
          <w:tcPr>
            <w:tcW w:w="1640" w:type="dxa"/>
            <w:vAlign w:val="bottom"/>
            <w:vMerge w:val="restart"/>
            <w:shd w:val="clear" w:color="auto" w:fill="1077A9"/>
          </w:tcPr>
          <w:p>
            <w:pPr>
              <w:ind w:left="520"/>
              <w:spacing w:after="0"/>
              <w:rPr>
                <w:sz w:val="20"/>
                <w:szCs w:val="20"/>
                <w:color w:val="auto"/>
              </w:rPr>
            </w:pPr>
            <w:r>
              <w:rPr>
                <w:rFonts w:ascii="Arial" w:cs="Arial" w:eastAsia="Arial" w:hAnsi="Arial"/>
                <w:sz w:val="14"/>
                <w:szCs w:val="14"/>
                <w:color w:val="FFFFFF"/>
              </w:rPr>
              <w:t>Target</w:t>
            </w:r>
          </w:p>
        </w:tc>
        <w:tc>
          <w:tcPr>
            <w:tcW w:w="1400" w:type="dxa"/>
            <w:vAlign w:val="bottom"/>
            <w:vMerge w:val="restart"/>
            <w:shd w:val="clear" w:color="auto" w:fill="1077A9"/>
          </w:tcPr>
          <w:p>
            <w:pPr>
              <w:ind w:left="300"/>
              <w:spacing w:after="0"/>
              <w:rPr>
                <w:sz w:val="20"/>
                <w:szCs w:val="20"/>
                <w:color w:val="auto"/>
              </w:rPr>
            </w:pPr>
            <w:r>
              <w:rPr>
                <w:rFonts w:ascii="Arial" w:cs="Arial" w:eastAsia="Arial" w:hAnsi="Arial"/>
                <w:sz w:val="14"/>
                <w:szCs w:val="14"/>
                <w:color w:val="FFFFFF"/>
              </w:rPr>
              <w:t>Base Salary</w:t>
            </w:r>
          </w:p>
        </w:tc>
        <w:tc>
          <w:tcPr>
            <w:tcW w:w="0" w:type="dxa"/>
            <w:vAlign w:val="bottom"/>
          </w:tcPr>
          <w:p>
            <w:pPr>
              <w:spacing w:after="0"/>
              <w:rPr>
                <w:sz w:val="1"/>
                <w:szCs w:val="1"/>
                <w:color w:val="auto"/>
              </w:rPr>
            </w:pPr>
          </w:p>
        </w:tc>
      </w:tr>
      <w:tr>
        <w:trPr>
          <w:trHeight w:val="100"/>
        </w:trPr>
        <w:tc>
          <w:tcPr>
            <w:tcW w:w="4180" w:type="dxa"/>
            <w:vAlign w:val="bottom"/>
            <w:tcBorders>
              <w:bottom w:val="single" w:sz="8" w:color="1077A9"/>
            </w:tcBorders>
            <w:shd w:val="clear" w:color="auto" w:fill="1077A9"/>
          </w:tcPr>
          <w:p>
            <w:pPr>
              <w:spacing w:after="0"/>
              <w:rPr>
                <w:sz w:val="8"/>
                <w:szCs w:val="8"/>
                <w:color w:val="auto"/>
              </w:rPr>
            </w:pPr>
          </w:p>
        </w:tc>
        <w:tc>
          <w:tcPr>
            <w:tcW w:w="4020" w:type="dxa"/>
            <w:vAlign w:val="bottom"/>
            <w:tcBorders>
              <w:bottom w:val="single" w:sz="8" w:color="1077A9"/>
            </w:tcBorders>
            <w:shd w:val="clear" w:color="auto" w:fill="1077A9"/>
          </w:tcPr>
          <w:p>
            <w:pPr>
              <w:spacing w:after="0"/>
              <w:rPr>
                <w:sz w:val="8"/>
                <w:szCs w:val="8"/>
                <w:color w:val="auto"/>
              </w:rPr>
            </w:pPr>
          </w:p>
        </w:tc>
        <w:tc>
          <w:tcPr>
            <w:tcW w:w="1640" w:type="dxa"/>
            <w:vAlign w:val="bottom"/>
            <w:tcBorders>
              <w:bottom w:val="single" w:sz="8" w:color="1077A9"/>
            </w:tcBorders>
            <w:vMerge w:val="continue"/>
            <w:shd w:val="clear" w:color="auto" w:fill="1077A9"/>
          </w:tcPr>
          <w:p>
            <w:pPr>
              <w:spacing w:after="0"/>
              <w:rPr>
                <w:sz w:val="8"/>
                <w:szCs w:val="8"/>
                <w:color w:val="auto"/>
              </w:rPr>
            </w:pPr>
          </w:p>
        </w:tc>
        <w:tc>
          <w:tcPr>
            <w:tcW w:w="1400" w:type="dxa"/>
            <w:vAlign w:val="bottom"/>
            <w:tcBorders>
              <w:bottom w:val="single" w:sz="8" w:color="1077A9"/>
            </w:tcBorders>
            <w:vMerge w:val="continue"/>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$755,250</w:t>
            </w:r>
          </w:p>
        </w:tc>
        <w:tc>
          <w:tcPr>
            <w:tcW w:w="1640" w:type="dxa"/>
            <w:vAlign w:val="bottom"/>
          </w:tcPr>
          <w:p>
            <w:pPr>
              <w:ind w:left="1040"/>
              <w:spacing w:after="0"/>
              <w:rPr>
                <w:sz w:val="20"/>
                <w:szCs w:val="20"/>
                <w:color w:val="auto"/>
              </w:rPr>
            </w:pPr>
            <w:r>
              <w:rPr>
                <w:rFonts w:ascii="Arial" w:cs="Arial" w:eastAsia="Arial" w:hAnsi="Arial"/>
                <w:sz w:val="14"/>
                <w:szCs w:val="14"/>
                <w:color w:val="auto"/>
              </w:rPr>
              <w:t>95.0%</w:t>
            </w:r>
          </w:p>
        </w:tc>
        <w:tc>
          <w:tcPr>
            <w:tcW w:w="1400" w:type="dxa"/>
            <w:vAlign w:val="bottom"/>
          </w:tcPr>
          <w:p>
            <w:pPr>
              <w:ind w:left="980"/>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89"/>
        </w:trPr>
        <w:tc>
          <w:tcPr>
            <w:tcW w:w="4180" w:type="dxa"/>
            <w:vAlign w:val="bottom"/>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40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262,438</w:t>
            </w:r>
          </w:p>
        </w:tc>
        <w:tc>
          <w:tcPr>
            <w:tcW w:w="1640" w:type="dxa"/>
            <w:vAlign w:val="bottom"/>
            <w:shd w:val="clear" w:color="auto" w:fill="E5E6E6"/>
          </w:tcPr>
          <w:p>
            <w:pPr>
              <w:ind w:left="1040"/>
              <w:spacing w:after="0"/>
              <w:rPr>
                <w:sz w:val="20"/>
                <w:szCs w:val="20"/>
                <w:color w:val="auto"/>
              </w:rPr>
            </w:pPr>
            <w:r>
              <w:rPr>
                <w:rFonts w:ascii="Arial" w:cs="Arial" w:eastAsia="Arial" w:hAnsi="Arial"/>
                <w:sz w:val="14"/>
                <w:szCs w:val="14"/>
                <w:color w:val="auto"/>
              </w:rPr>
              <w:t>95.0</w:t>
            </w:r>
          </w:p>
        </w:tc>
        <w:tc>
          <w:tcPr>
            <w:tcW w:w="1400" w:type="dxa"/>
            <w:vAlign w:val="bottom"/>
            <w:shd w:val="clear" w:color="auto" w:fill="E5E6E6"/>
          </w:tcPr>
          <w:p>
            <w:pPr>
              <w:ind w:left="980"/>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89"/>
        </w:trPr>
        <w:tc>
          <w:tcPr>
            <w:tcW w:w="418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4020" w:type="dxa"/>
            <w:vAlign w:val="bottom"/>
          </w:tcPr>
          <w:p>
            <w:pPr>
              <w:jc w:val="right"/>
              <w:ind w:right="148"/>
              <w:spacing w:after="0"/>
              <w:rPr>
                <w:sz w:val="20"/>
                <w:szCs w:val="20"/>
                <w:color w:val="auto"/>
              </w:rPr>
            </w:pPr>
            <w:r>
              <w:rPr>
                <w:rFonts w:ascii="Arial" w:cs="Arial" w:eastAsia="Arial" w:hAnsi="Arial"/>
                <w:sz w:val="14"/>
                <w:szCs w:val="14"/>
                <w:color w:val="auto"/>
              </w:rPr>
              <w:t>262,438</w:t>
            </w:r>
          </w:p>
        </w:tc>
        <w:tc>
          <w:tcPr>
            <w:tcW w:w="1640" w:type="dxa"/>
            <w:vAlign w:val="bottom"/>
          </w:tcPr>
          <w:p>
            <w:pPr>
              <w:ind w:left="1040"/>
              <w:spacing w:after="0"/>
              <w:rPr>
                <w:sz w:val="20"/>
                <w:szCs w:val="20"/>
                <w:color w:val="auto"/>
              </w:rPr>
            </w:pPr>
            <w:r>
              <w:rPr>
                <w:rFonts w:ascii="Arial" w:cs="Arial" w:eastAsia="Arial" w:hAnsi="Arial"/>
                <w:sz w:val="14"/>
                <w:szCs w:val="14"/>
                <w:color w:val="auto"/>
              </w:rPr>
              <w:t>95.0</w:t>
            </w:r>
          </w:p>
        </w:tc>
        <w:tc>
          <w:tcPr>
            <w:tcW w:w="1400" w:type="dxa"/>
            <w:vAlign w:val="bottom"/>
          </w:tcPr>
          <w:p>
            <w:pPr>
              <w:ind w:left="980"/>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89"/>
        </w:trPr>
        <w:tc>
          <w:tcPr>
            <w:tcW w:w="4180" w:type="dxa"/>
            <w:vAlign w:val="bottom"/>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40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228,000</w:t>
            </w:r>
          </w:p>
        </w:tc>
        <w:tc>
          <w:tcPr>
            <w:tcW w:w="1640" w:type="dxa"/>
            <w:vAlign w:val="bottom"/>
            <w:shd w:val="clear" w:color="auto" w:fill="E5E6E6"/>
          </w:tcPr>
          <w:p>
            <w:pPr>
              <w:ind w:left="1040"/>
              <w:spacing w:after="0"/>
              <w:rPr>
                <w:sz w:val="20"/>
                <w:szCs w:val="20"/>
                <w:color w:val="auto"/>
              </w:rPr>
            </w:pPr>
            <w:r>
              <w:rPr>
                <w:rFonts w:ascii="Arial" w:cs="Arial" w:eastAsia="Arial" w:hAnsi="Arial"/>
                <w:sz w:val="14"/>
                <w:szCs w:val="14"/>
                <w:color w:val="auto"/>
              </w:rPr>
              <w:t>95.0</w:t>
            </w:r>
          </w:p>
        </w:tc>
        <w:tc>
          <w:tcPr>
            <w:tcW w:w="1400" w:type="dxa"/>
            <w:vAlign w:val="bottom"/>
            <w:shd w:val="clear" w:color="auto" w:fill="E5E6E6"/>
          </w:tcPr>
          <w:p>
            <w:pPr>
              <w:ind w:left="980"/>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89"/>
        </w:trPr>
        <w:tc>
          <w:tcPr>
            <w:tcW w:w="4180" w:type="dxa"/>
            <w:vAlign w:val="bottom"/>
            <w:tcBorders>
              <w:bottom w:val="single" w:sz="8" w:color="E5E6E6"/>
            </w:tcBorders>
          </w:tcPr>
          <w:p>
            <w:pPr>
              <w:ind w:left="100"/>
              <w:spacing w:after="0"/>
              <w:rPr>
                <w:sz w:val="20"/>
                <w:szCs w:val="20"/>
                <w:color w:val="auto"/>
              </w:rPr>
            </w:pPr>
            <w:r>
              <w:rPr>
                <w:rFonts w:ascii="Arial" w:cs="Arial" w:eastAsia="Arial" w:hAnsi="Arial"/>
                <w:sz w:val="14"/>
                <w:szCs w:val="14"/>
                <w:color w:val="auto"/>
              </w:rPr>
              <w:t>Melinda Davis Lux</w:t>
            </w:r>
          </w:p>
        </w:tc>
        <w:tc>
          <w:tcPr>
            <w:tcW w:w="4020" w:type="dxa"/>
            <w:vAlign w:val="bottom"/>
            <w:tcBorders>
              <w:bottom w:val="single" w:sz="8" w:color="E5E6E6"/>
            </w:tcBorders>
          </w:tcPr>
          <w:p>
            <w:pPr>
              <w:jc w:val="right"/>
              <w:ind w:right="148"/>
              <w:spacing w:after="0"/>
              <w:rPr>
                <w:sz w:val="20"/>
                <w:szCs w:val="20"/>
                <w:color w:val="auto"/>
              </w:rPr>
            </w:pPr>
            <w:r>
              <w:rPr>
                <w:rFonts w:ascii="Arial" w:cs="Arial" w:eastAsia="Arial" w:hAnsi="Arial"/>
                <w:sz w:val="14"/>
                <w:szCs w:val="14"/>
                <w:color w:val="auto"/>
              </w:rPr>
              <w:t>182,875</w:t>
            </w:r>
          </w:p>
        </w:tc>
        <w:tc>
          <w:tcPr>
            <w:tcW w:w="1640" w:type="dxa"/>
            <w:vAlign w:val="bottom"/>
            <w:tcBorders>
              <w:bottom w:val="single" w:sz="8" w:color="E5E6E6"/>
            </w:tcBorders>
          </w:tcPr>
          <w:p>
            <w:pPr>
              <w:ind w:left="1040"/>
              <w:spacing w:after="0"/>
              <w:rPr>
                <w:sz w:val="20"/>
                <w:szCs w:val="20"/>
                <w:color w:val="auto"/>
              </w:rPr>
            </w:pPr>
            <w:r>
              <w:rPr>
                <w:rFonts w:ascii="Arial" w:cs="Arial" w:eastAsia="Arial" w:hAnsi="Arial"/>
                <w:sz w:val="14"/>
                <w:szCs w:val="14"/>
                <w:color w:val="auto"/>
              </w:rPr>
              <w:t>95.0</w:t>
            </w:r>
          </w:p>
        </w:tc>
        <w:tc>
          <w:tcPr>
            <w:tcW w:w="1400" w:type="dxa"/>
            <w:vAlign w:val="bottom"/>
            <w:tcBorders>
              <w:bottom w:val="single" w:sz="8" w:color="E5E6E6"/>
            </w:tcBorders>
          </w:tcPr>
          <w:p>
            <w:pPr>
              <w:ind w:left="980"/>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to adjusting the 2020 payout provision to address the factors above, the Talent and Compensation Committee determined that it was appropriate to change the performance objectives for 2021 nonequity incentive awards. Specifically, the Talent and Compensation Committee determined that it was appropriate to add two new performance objectives for 2021 nonequity incentive awards: pre-tax pre-provision earnings per share and net charge offs as a percentage of total loans. The Talent and Compensation Committee determined that because of the potential for CECL provision releases in 2021 driven by economic forecasts outside the control of management to significantly increase earnings per share, it was appropriate to use pre-tax, pre-provision earnings per share as a measure to reduce the potential for earnings per share to benefit the payout percentage in a manner not driven by management’s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selected the following six performance objectives and assigned weights for 2021 nonequity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126365</wp:posOffset>
            </wp:positionV>
            <wp:extent cx="889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00" w:type="dxa"/>
            <w:vAlign w:val="bottom"/>
            <w:tcBorders>
              <w:bottom w:val="single" w:sz="8" w:color="1077A9"/>
            </w:tcBorders>
            <w:shd w:val="clear" w:color="auto" w:fill="1077A9"/>
          </w:tcPr>
          <w:p>
            <w:pPr>
              <w:ind w:left="100"/>
              <w:spacing w:after="0"/>
              <w:rPr>
                <w:sz w:val="20"/>
                <w:szCs w:val="20"/>
                <w:color w:val="auto"/>
              </w:rPr>
            </w:pPr>
            <w:r>
              <w:rPr>
                <w:rFonts w:ascii="Arial" w:cs="Arial" w:eastAsia="Arial" w:hAnsi="Arial"/>
                <w:sz w:val="14"/>
                <w:szCs w:val="14"/>
                <w:color w:val="FFFFFF"/>
              </w:rPr>
              <w:t>Performance Objective</w:t>
            </w:r>
          </w:p>
        </w:tc>
        <w:tc>
          <w:tcPr>
            <w:tcW w:w="4840" w:type="dxa"/>
            <w:vAlign w:val="bottom"/>
            <w:tcBorders>
              <w:bottom w:val="single" w:sz="8" w:color="1077A9"/>
            </w:tcBorders>
            <w:shd w:val="clear" w:color="auto" w:fill="1077A9"/>
          </w:tcPr>
          <w:p>
            <w:pPr>
              <w:ind w:left="3640"/>
              <w:spacing w:after="0"/>
              <w:rPr>
                <w:sz w:val="20"/>
                <w:szCs w:val="20"/>
                <w:color w:val="auto"/>
              </w:rPr>
            </w:pPr>
            <w:r>
              <w:rPr>
                <w:rFonts w:ascii="Arial" w:cs="Arial" w:eastAsia="Arial" w:hAnsi="Arial"/>
                <w:sz w:val="14"/>
                <w:szCs w:val="14"/>
                <w:color w:val="FFFFFF"/>
              </w:rPr>
              <w:t>Overall Weight</w:t>
            </w:r>
          </w:p>
        </w:tc>
      </w:tr>
      <w:tr>
        <w:trPr>
          <w:trHeight w:val="189"/>
        </w:trPr>
        <w:tc>
          <w:tcPr>
            <w:tcW w:w="6400" w:type="dxa"/>
            <w:vAlign w:val="bottom"/>
          </w:tcPr>
          <w:p>
            <w:pPr>
              <w:ind w:left="100"/>
              <w:spacing w:after="0"/>
              <w:rPr>
                <w:sz w:val="20"/>
                <w:szCs w:val="20"/>
                <w:color w:val="auto"/>
              </w:rPr>
            </w:pPr>
            <w:r>
              <w:rPr>
                <w:rFonts w:ascii="Arial" w:cs="Arial" w:eastAsia="Arial" w:hAnsi="Arial"/>
                <w:sz w:val="14"/>
                <w:szCs w:val="14"/>
                <w:color w:val="auto"/>
              </w:rPr>
              <w:t>Pre-Tax Pre-Provision Earnings per Share</w:t>
            </w:r>
          </w:p>
        </w:tc>
        <w:tc>
          <w:tcPr>
            <w:tcW w:w="4840" w:type="dxa"/>
            <w:vAlign w:val="bottom"/>
          </w:tcPr>
          <w:p>
            <w:pPr>
              <w:ind w:left="4420"/>
              <w:spacing w:after="0"/>
              <w:rPr>
                <w:sz w:val="20"/>
                <w:szCs w:val="20"/>
                <w:color w:val="auto"/>
              </w:rPr>
            </w:pPr>
            <w:r>
              <w:rPr>
                <w:rFonts w:ascii="Arial" w:cs="Arial" w:eastAsia="Arial" w:hAnsi="Arial"/>
                <w:sz w:val="14"/>
                <w:szCs w:val="14"/>
                <w:color w:val="auto"/>
              </w:rPr>
              <w:t>20.0%</w:t>
            </w:r>
          </w:p>
        </w:tc>
      </w:tr>
      <w:tr>
        <w:trPr>
          <w:trHeight w:val="189"/>
        </w:trPr>
        <w:tc>
          <w:tcPr>
            <w:tcW w:w="6400" w:type="dxa"/>
            <w:vAlign w:val="bottom"/>
            <w:shd w:val="clear" w:color="auto" w:fill="E5E6E6"/>
          </w:tcPr>
          <w:p>
            <w:pPr>
              <w:ind w:left="100"/>
              <w:spacing w:after="0"/>
              <w:rPr>
                <w:sz w:val="20"/>
                <w:szCs w:val="20"/>
                <w:color w:val="auto"/>
              </w:rPr>
            </w:pPr>
            <w:r>
              <w:rPr>
                <w:rFonts w:ascii="Arial" w:cs="Arial" w:eastAsia="Arial" w:hAnsi="Arial"/>
                <w:sz w:val="14"/>
                <w:szCs w:val="14"/>
                <w:color w:val="auto"/>
              </w:rPr>
              <w:t>Operating Earnings per Share</w:t>
            </w:r>
          </w:p>
        </w:tc>
        <w:tc>
          <w:tcPr>
            <w:tcW w:w="4840" w:type="dxa"/>
            <w:vAlign w:val="bottom"/>
            <w:shd w:val="clear" w:color="auto" w:fill="E5E6E6"/>
          </w:tcPr>
          <w:p>
            <w:pPr>
              <w:ind w:left="4420"/>
              <w:spacing w:after="0"/>
              <w:rPr>
                <w:sz w:val="20"/>
                <w:szCs w:val="20"/>
                <w:color w:val="auto"/>
              </w:rPr>
            </w:pPr>
            <w:r>
              <w:rPr>
                <w:rFonts w:ascii="Arial" w:cs="Arial" w:eastAsia="Arial" w:hAnsi="Arial"/>
                <w:sz w:val="14"/>
                <w:szCs w:val="14"/>
                <w:color w:val="auto"/>
              </w:rPr>
              <w:t>15.0</w:t>
            </w:r>
          </w:p>
        </w:tc>
      </w:tr>
      <w:tr>
        <w:trPr>
          <w:trHeight w:val="189"/>
        </w:trPr>
        <w:tc>
          <w:tcPr>
            <w:tcW w:w="6400" w:type="dxa"/>
            <w:vAlign w:val="bottom"/>
          </w:tcPr>
          <w:p>
            <w:pPr>
              <w:ind w:left="100"/>
              <w:spacing w:after="0"/>
              <w:rPr>
                <w:sz w:val="20"/>
                <w:szCs w:val="20"/>
                <w:color w:val="auto"/>
              </w:rPr>
            </w:pPr>
            <w:r>
              <w:rPr>
                <w:rFonts w:ascii="Arial" w:cs="Arial" w:eastAsia="Arial" w:hAnsi="Arial"/>
                <w:sz w:val="14"/>
                <w:szCs w:val="14"/>
                <w:color w:val="auto"/>
              </w:rPr>
              <w:t>Net Charge-Offs / Total Loans</w:t>
            </w:r>
          </w:p>
        </w:tc>
        <w:tc>
          <w:tcPr>
            <w:tcW w:w="4840" w:type="dxa"/>
            <w:vAlign w:val="bottom"/>
          </w:tcPr>
          <w:p>
            <w:pPr>
              <w:ind w:left="4420"/>
              <w:spacing w:after="0"/>
              <w:rPr>
                <w:sz w:val="20"/>
                <w:szCs w:val="20"/>
                <w:color w:val="auto"/>
              </w:rPr>
            </w:pPr>
            <w:r>
              <w:rPr>
                <w:rFonts w:ascii="Arial" w:cs="Arial" w:eastAsia="Arial" w:hAnsi="Arial"/>
                <w:sz w:val="14"/>
                <w:szCs w:val="14"/>
                <w:color w:val="auto"/>
              </w:rPr>
              <w:t>15.0</w:t>
            </w:r>
          </w:p>
        </w:tc>
      </w:tr>
      <w:tr>
        <w:trPr>
          <w:trHeight w:val="189"/>
        </w:trPr>
        <w:tc>
          <w:tcPr>
            <w:tcW w:w="6400" w:type="dxa"/>
            <w:vAlign w:val="bottom"/>
            <w:shd w:val="clear" w:color="auto" w:fill="E5E6E6"/>
          </w:tcPr>
          <w:p>
            <w:pPr>
              <w:ind w:left="100"/>
              <w:spacing w:after="0"/>
              <w:rPr>
                <w:sz w:val="20"/>
                <w:szCs w:val="20"/>
                <w:color w:val="auto"/>
              </w:rPr>
            </w:pPr>
            <w:r>
              <w:rPr>
                <w:rFonts w:ascii="Arial" w:cs="Arial" w:eastAsia="Arial" w:hAnsi="Arial"/>
                <w:sz w:val="14"/>
                <w:szCs w:val="14"/>
                <w:color w:val="auto"/>
              </w:rPr>
              <w:t>NPAs / Total Assets</w:t>
            </w:r>
          </w:p>
        </w:tc>
        <w:tc>
          <w:tcPr>
            <w:tcW w:w="4840" w:type="dxa"/>
            <w:vAlign w:val="bottom"/>
            <w:shd w:val="clear" w:color="auto" w:fill="E5E6E6"/>
          </w:tcPr>
          <w:p>
            <w:pPr>
              <w:ind w:left="4420"/>
              <w:spacing w:after="0"/>
              <w:rPr>
                <w:sz w:val="20"/>
                <w:szCs w:val="20"/>
                <w:color w:val="auto"/>
              </w:rPr>
            </w:pPr>
            <w:r>
              <w:rPr>
                <w:rFonts w:ascii="Arial" w:cs="Arial" w:eastAsia="Arial" w:hAnsi="Arial"/>
                <w:sz w:val="14"/>
                <w:szCs w:val="14"/>
                <w:color w:val="auto"/>
              </w:rPr>
              <w:t>15.0</w:t>
            </w:r>
          </w:p>
        </w:tc>
      </w:tr>
      <w:tr>
        <w:trPr>
          <w:trHeight w:val="189"/>
        </w:trPr>
        <w:tc>
          <w:tcPr>
            <w:tcW w:w="6400" w:type="dxa"/>
            <w:vAlign w:val="bottom"/>
          </w:tcPr>
          <w:p>
            <w:pPr>
              <w:ind w:left="100"/>
              <w:spacing w:after="0"/>
              <w:rPr>
                <w:sz w:val="20"/>
                <w:szCs w:val="20"/>
                <w:color w:val="auto"/>
              </w:rPr>
            </w:pPr>
            <w:r>
              <w:rPr>
                <w:rFonts w:ascii="Arial" w:cs="Arial" w:eastAsia="Arial" w:hAnsi="Arial"/>
                <w:sz w:val="14"/>
                <w:szCs w:val="14"/>
                <w:color w:val="auto"/>
              </w:rPr>
              <w:t>Operating Efficiency Ratio</w:t>
            </w:r>
          </w:p>
        </w:tc>
        <w:tc>
          <w:tcPr>
            <w:tcW w:w="4840" w:type="dxa"/>
            <w:vAlign w:val="bottom"/>
          </w:tcPr>
          <w:p>
            <w:pPr>
              <w:ind w:left="4420"/>
              <w:spacing w:after="0"/>
              <w:rPr>
                <w:sz w:val="20"/>
                <w:szCs w:val="20"/>
                <w:color w:val="auto"/>
              </w:rPr>
            </w:pPr>
            <w:r>
              <w:rPr>
                <w:rFonts w:ascii="Arial" w:cs="Arial" w:eastAsia="Arial" w:hAnsi="Arial"/>
                <w:sz w:val="14"/>
                <w:szCs w:val="14"/>
                <w:color w:val="auto"/>
              </w:rPr>
              <w:t>20.0</w:t>
            </w:r>
          </w:p>
        </w:tc>
      </w:tr>
      <w:tr>
        <w:trPr>
          <w:trHeight w:val="189"/>
        </w:trPr>
        <w:tc>
          <w:tcPr>
            <w:tcW w:w="6400" w:type="dxa"/>
            <w:vAlign w:val="bottom"/>
            <w:shd w:val="clear" w:color="auto" w:fill="E5E6E6"/>
          </w:tcPr>
          <w:p>
            <w:pPr>
              <w:ind w:left="100"/>
              <w:spacing w:after="0"/>
              <w:rPr>
                <w:sz w:val="20"/>
                <w:szCs w:val="20"/>
                <w:color w:val="auto"/>
              </w:rPr>
            </w:pPr>
            <w:r>
              <w:rPr>
                <w:rFonts w:ascii="Arial" w:cs="Arial" w:eastAsia="Arial" w:hAnsi="Arial"/>
                <w:sz w:val="14"/>
                <w:szCs w:val="14"/>
                <w:color w:val="auto"/>
              </w:rPr>
              <w:t>Customer Satisfaction Rating</w:t>
            </w:r>
          </w:p>
        </w:tc>
        <w:tc>
          <w:tcPr>
            <w:tcW w:w="4840" w:type="dxa"/>
            <w:vAlign w:val="bottom"/>
            <w:shd w:val="clear" w:color="auto" w:fill="E5E6E6"/>
          </w:tcPr>
          <w:p>
            <w:pPr>
              <w:ind w:left="4420"/>
              <w:spacing w:after="0"/>
              <w:rPr>
                <w:sz w:val="20"/>
                <w:szCs w:val="20"/>
                <w:color w:val="auto"/>
              </w:rPr>
            </w:pPr>
            <w:r>
              <w:rPr>
                <w:rFonts w:ascii="Arial" w:cs="Arial" w:eastAsia="Arial" w:hAnsi="Arial"/>
                <w:sz w:val="14"/>
                <w:szCs w:val="14"/>
                <w:color w:val="auto"/>
              </w:rPr>
              <w:t>15.0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Long-Term Equity Incentive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077A9"/>
        </w:rPr>
        <w:t>Annual Awards</w:t>
      </w:r>
    </w:p>
    <w:p>
      <w:pPr>
        <w:spacing w:after="0" w:line="19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believe that long-term equity incentive awards provide a competitive incentive opportunity for our NEOs, strengthens the alignment of executive pay with shareholder value creation and creates an additional link between pay and our performance (specifically, our return on average assets and total shareholder return). Under our long-term equity incentive award program, we are permitted to grant stock options, restricted stock, restricted stock units and other forms of equity-based compensation.</w:t>
      </w:r>
    </w:p>
    <w:p>
      <w:pPr>
        <w:spacing w:after="0" w:line="19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Talent and Compensation Committee granted annual equity awards to our NEOs in September 2020. The Talent and Compensation Committee reserves the right to exercise discretion in determining the grant size of awards. Our 2020 awards were made in restricted stock units that consisted of at least 60% PRSUs and 40% TRSUs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120650</wp:posOffset>
            </wp:positionV>
            <wp:extent cx="8890" cy="4800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120650</wp:posOffset>
            </wp:positionV>
            <wp:extent cx="8890" cy="4800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120650</wp:posOffset>
            </wp:positionV>
            <wp:extent cx="8255" cy="4800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48006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120650</wp:posOffset>
            </wp:positionV>
            <wp:extent cx="8890" cy="4800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120650</wp:posOffset>
            </wp:positionV>
            <wp:extent cx="8890" cy="4800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48006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80" w:type="dxa"/>
            <w:vAlign w:val="bottom"/>
            <w:shd w:val="clear" w:color="auto" w:fill="1077A9"/>
          </w:tcPr>
          <w:p>
            <w:pPr>
              <w:spacing w:after="0"/>
              <w:rPr>
                <w:sz w:val="19"/>
                <w:szCs w:val="19"/>
                <w:color w:val="auto"/>
              </w:rPr>
            </w:pPr>
          </w:p>
        </w:tc>
        <w:tc>
          <w:tcPr>
            <w:tcW w:w="2520" w:type="dxa"/>
            <w:vAlign w:val="bottom"/>
            <w:shd w:val="clear" w:color="auto" w:fill="1077A9"/>
          </w:tcPr>
          <w:p>
            <w:pPr>
              <w:spacing w:after="0"/>
              <w:rPr>
                <w:sz w:val="19"/>
                <w:szCs w:val="19"/>
                <w:color w:val="auto"/>
              </w:rPr>
            </w:pPr>
          </w:p>
        </w:tc>
        <w:tc>
          <w:tcPr>
            <w:tcW w:w="154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2020 Annual Equity</w:t>
            </w:r>
          </w:p>
        </w:tc>
        <w:tc>
          <w:tcPr>
            <w:tcW w:w="154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Fair Value of 2020</w:t>
            </w:r>
          </w:p>
        </w:tc>
        <w:tc>
          <w:tcPr>
            <w:tcW w:w="156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2020 Annual Equity</w:t>
            </w:r>
          </w:p>
        </w:tc>
        <w:tc>
          <w:tcPr>
            <w:tcW w:w="150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Fair Value of 2020</w:t>
            </w:r>
          </w:p>
        </w:tc>
        <w:tc>
          <w:tcPr>
            <w:tcW w:w="0" w:type="dxa"/>
            <w:vAlign w:val="bottom"/>
          </w:tcPr>
          <w:p>
            <w:pPr>
              <w:spacing w:after="0"/>
              <w:rPr>
                <w:sz w:val="1"/>
                <w:szCs w:val="1"/>
                <w:color w:val="auto"/>
              </w:rPr>
            </w:pPr>
          </w:p>
        </w:tc>
      </w:tr>
      <w:tr>
        <w:trPr>
          <w:trHeight w:val="81"/>
        </w:trPr>
        <w:tc>
          <w:tcPr>
            <w:tcW w:w="2580" w:type="dxa"/>
            <w:vAlign w:val="bottom"/>
            <w:shd w:val="clear" w:color="auto" w:fill="1077A9"/>
          </w:tcPr>
          <w:p>
            <w:pPr>
              <w:spacing w:after="0"/>
              <w:rPr>
                <w:sz w:val="7"/>
                <w:szCs w:val="7"/>
                <w:color w:val="auto"/>
              </w:rPr>
            </w:pPr>
          </w:p>
        </w:tc>
        <w:tc>
          <w:tcPr>
            <w:tcW w:w="2520" w:type="dxa"/>
            <w:vAlign w:val="bottom"/>
            <w:vMerge w:val="restart"/>
            <w:shd w:val="clear" w:color="auto" w:fill="1077A9"/>
          </w:tcPr>
          <w:p>
            <w:pPr>
              <w:jc w:val="right"/>
              <w:ind w:right="168"/>
              <w:spacing w:after="0"/>
              <w:rPr>
                <w:sz w:val="20"/>
                <w:szCs w:val="20"/>
                <w:color w:val="auto"/>
              </w:rPr>
            </w:pPr>
            <w:r>
              <w:rPr>
                <w:rFonts w:ascii="Arial" w:cs="Arial" w:eastAsia="Arial" w:hAnsi="Arial"/>
                <w:sz w:val="14"/>
                <w:szCs w:val="14"/>
                <w:color w:val="FFFFFF"/>
              </w:rPr>
              <w:t>Target Award as %</w:t>
            </w:r>
          </w:p>
        </w:tc>
        <w:tc>
          <w:tcPr>
            <w:tcW w:w="1540" w:type="dxa"/>
            <w:vAlign w:val="bottom"/>
            <w:vMerge w:val="continue"/>
            <w:shd w:val="clear" w:color="auto" w:fill="1077A9"/>
          </w:tcPr>
          <w:p>
            <w:pPr>
              <w:spacing w:after="0"/>
              <w:rPr>
                <w:sz w:val="7"/>
                <w:szCs w:val="7"/>
                <w:color w:val="auto"/>
              </w:rPr>
            </w:pPr>
          </w:p>
        </w:tc>
        <w:tc>
          <w:tcPr>
            <w:tcW w:w="154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Annual</w:t>
            </w:r>
          </w:p>
        </w:tc>
        <w:tc>
          <w:tcPr>
            <w:tcW w:w="1560" w:type="dxa"/>
            <w:vAlign w:val="bottom"/>
            <w:vMerge w:val="continue"/>
            <w:shd w:val="clear" w:color="auto" w:fill="1077A9"/>
          </w:tcPr>
          <w:p>
            <w:pPr>
              <w:spacing w:after="0"/>
              <w:rPr>
                <w:sz w:val="7"/>
                <w:szCs w:val="7"/>
                <w:color w:val="auto"/>
              </w:rPr>
            </w:pPr>
          </w:p>
        </w:tc>
        <w:tc>
          <w:tcPr>
            <w:tcW w:w="150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Annual Equity</w:t>
            </w:r>
          </w:p>
        </w:tc>
        <w:tc>
          <w:tcPr>
            <w:tcW w:w="0" w:type="dxa"/>
            <w:vAlign w:val="bottom"/>
          </w:tcPr>
          <w:p>
            <w:pPr>
              <w:spacing w:after="0"/>
              <w:rPr>
                <w:sz w:val="1"/>
                <w:szCs w:val="1"/>
                <w:color w:val="auto"/>
              </w:rPr>
            </w:pPr>
          </w:p>
        </w:tc>
      </w:tr>
      <w:tr>
        <w:trPr>
          <w:trHeight w:val="81"/>
        </w:trPr>
        <w:tc>
          <w:tcPr>
            <w:tcW w:w="2580" w:type="dxa"/>
            <w:vAlign w:val="bottom"/>
            <w:vMerge w:val="restart"/>
            <w:shd w:val="clear" w:color="auto" w:fill="1077A9"/>
          </w:tcPr>
          <w:p>
            <w:pPr>
              <w:ind w:left="100"/>
              <w:spacing w:after="0"/>
              <w:rPr>
                <w:sz w:val="20"/>
                <w:szCs w:val="20"/>
                <w:color w:val="auto"/>
              </w:rPr>
            </w:pPr>
            <w:r>
              <w:rPr>
                <w:rFonts w:ascii="Arial" w:cs="Arial" w:eastAsia="Arial" w:hAnsi="Arial"/>
                <w:sz w:val="14"/>
                <w:szCs w:val="14"/>
                <w:color w:val="FFFFFF"/>
              </w:rPr>
              <w:t>Name</w:t>
            </w:r>
          </w:p>
        </w:tc>
        <w:tc>
          <w:tcPr>
            <w:tcW w:w="2520" w:type="dxa"/>
            <w:vAlign w:val="bottom"/>
            <w:vMerge w:val="continue"/>
            <w:shd w:val="clear" w:color="auto" w:fill="1077A9"/>
          </w:tcPr>
          <w:p>
            <w:pPr>
              <w:spacing w:after="0"/>
              <w:rPr>
                <w:sz w:val="7"/>
                <w:szCs w:val="7"/>
                <w:color w:val="auto"/>
              </w:rPr>
            </w:pPr>
          </w:p>
        </w:tc>
        <w:tc>
          <w:tcPr>
            <w:tcW w:w="154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Incentive Award</w:t>
            </w:r>
          </w:p>
        </w:tc>
        <w:tc>
          <w:tcPr>
            <w:tcW w:w="1540" w:type="dxa"/>
            <w:vAlign w:val="bottom"/>
            <w:vMerge w:val="continue"/>
            <w:shd w:val="clear" w:color="auto" w:fill="1077A9"/>
          </w:tcPr>
          <w:p>
            <w:pPr>
              <w:spacing w:after="0"/>
              <w:rPr>
                <w:sz w:val="7"/>
                <w:szCs w:val="7"/>
                <w:color w:val="auto"/>
              </w:rPr>
            </w:pPr>
          </w:p>
        </w:tc>
        <w:tc>
          <w:tcPr>
            <w:tcW w:w="156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Incentive Award</w:t>
            </w:r>
          </w:p>
        </w:tc>
        <w:tc>
          <w:tcPr>
            <w:tcW w:w="150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80" w:type="dxa"/>
            <w:vAlign w:val="bottom"/>
            <w:vMerge w:val="continue"/>
            <w:shd w:val="clear" w:color="auto" w:fill="1077A9"/>
          </w:tcPr>
          <w:p>
            <w:pPr>
              <w:spacing w:after="0"/>
              <w:rPr>
                <w:sz w:val="7"/>
                <w:szCs w:val="7"/>
                <w:color w:val="auto"/>
              </w:rPr>
            </w:pPr>
          </w:p>
        </w:tc>
        <w:tc>
          <w:tcPr>
            <w:tcW w:w="2520" w:type="dxa"/>
            <w:vAlign w:val="bottom"/>
            <w:vMerge w:val="restart"/>
            <w:shd w:val="clear" w:color="auto" w:fill="1077A9"/>
          </w:tcPr>
          <w:p>
            <w:pPr>
              <w:jc w:val="right"/>
              <w:ind w:right="308"/>
              <w:spacing w:after="0"/>
              <w:rPr>
                <w:sz w:val="20"/>
                <w:szCs w:val="20"/>
                <w:color w:val="auto"/>
              </w:rPr>
            </w:pPr>
            <w:r>
              <w:rPr>
                <w:rFonts w:ascii="Arial" w:cs="Arial" w:eastAsia="Arial" w:hAnsi="Arial"/>
                <w:sz w:val="14"/>
                <w:szCs w:val="14"/>
                <w:color w:val="FFFFFF"/>
              </w:rPr>
              <w:t>of Base Salary</w:t>
            </w:r>
          </w:p>
        </w:tc>
        <w:tc>
          <w:tcPr>
            <w:tcW w:w="1540" w:type="dxa"/>
            <w:vAlign w:val="bottom"/>
            <w:vMerge w:val="continue"/>
            <w:shd w:val="clear" w:color="auto" w:fill="1077A9"/>
          </w:tcPr>
          <w:p>
            <w:pPr>
              <w:spacing w:after="0"/>
              <w:rPr>
                <w:sz w:val="7"/>
                <w:szCs w:val="7"/>
                <w:color w:val="auto"/>
              </w:rPr>
            </w:pPr>
          </w:p>
        </w:tc>
        <w:tc>
          <w:tcPr>
            <w:tcW w:w="154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Equity Incentive</w:t>
            </w:r>
          </w:p>
        </w:tc>
        <w:tc>
          <w:tcPr>
            <w:tcW w:w="1560" w:type="dxa"/>
            <w:vAlign w:val="bottom"/>
            <w:vMerge w:val="continue"/>
            <w:shd w:val="clear" w:color="auto" w:fill="1077A9"/>
          </w:tcPr>
          <w:p>
            <w:pPr>
              <w:spacing w:after="0"/>
              <w:rPr>
                <w:sz w:val="7"/>
                <w:szCs w:val="7"/>
                <w:color w:val="auto"/>
              </w:rPr>
            </w:pPr>
          </w:p>
        </w:tc>
        <w:tc>
          <w:tcPr>
            <w:tcW w:w="150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Incentive</w:t>
            </w:r>
          </w:p>
        </w:tc>
        <w:tc>
          <w:tcPr>
            <w:tcW w:w="0" w:type="dxa"/>
            <w:vAlign w:val="bottom"/>
          </w:tcPr>
          <w:p>
            <w:pPr>
              <w:spacing w:after="0"/>
              <w:rPr>
                <w:sz w:val="1"/>
                <w:szCs w:val="1"/>
                <w:color w:val="auto"/>
              </w:rPr>
            </w:pPr>
          </w:p>
        </w:tc>
      </w:tr>
      <w:tr>
        <w:trPr>
          <w:trHeight w:val="81"/>
        </w:trPr>
        <w:tc>
          <w:tcPr>
            <w:tcW w:w="2580" w:type="dxa"/>
            <w:vAlign w:val="bottom"/>
            <w:shd w:val="clear" w:color="auto" w:fill="1077A9"/>
          </w:tcPr>
          <w:p>
            <w:pPr>
              <w:spacing w:after="0"/>
              <w:rPr>
                <w:sz w:val="7"/>
                <w:szCs w:val="7"/>
                <w:color w:val="auto"/>
              </w:rPr>
            </w:pPr>
          </w:p>
        </w:tc>
        <w:tc>
          <w:tcPr>
            <w:tcW w:w="2520" w:type="dxa"/>
            <w:vAlign w:val="bottom"/>
            <w:vMerge w:val="continue"/>
            <w:shd w:val="clear" w:color="auto" w:fill="1077A9"/>
          </w:tcPr>
          <w:p>
            <w:pPr>
              <w:spacing w:after="0"/>
              <w:rPr>
                <w:sz w:val="7"/>
                <w:szCs w:val="7"/>
                <w:color w:val="auto"/>
              </w:rPr>
            </w:pPr>
          </w:p>
        </w:tc>
        <w:tc>
          <w:tcPr>
            <w:tcW w:w="154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(PRSUs) (#)</w:t>
            </w:r>
          </w:p>
        </w:tc>
        <w:tc>
          <w:tcPr>
            <w:tcW w:w="1540" w:type="dxa"/>
            <w:vAlign w:val="bottom"/>
            <w:vMerge w:val="continue"/>
            <w:shd w:val="clear" w:color="auto" w:fill="1077A9"/>
          </w:tcPr>
          <w:p>
            <w:pPr>
              <w:spacing w:after="0"/>
              <w:rPr>
                <w:sz w:val="7"/>
                <w:szCs w:val="7"/>
                <w:color w:val="auto"/>
              </w:rPr>
            </w:pPr>
          </w:p>
        </w:tc>
        <w:tc>
          <w:tcPr>
            <w:tcW w:w="156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(TRSUs) (#)</w:t>
            </w:r>
          </w:p>
        </w:tc>
        <w:tc>
          <w:tcPr>
            <w:tcW w:w="150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580" w:type="dxa"/>
            <w:vAlign w:val="bottom"/>
            <w:shd w:val="clear" w:color="auto" w:fill="1077A9"/>
          </w:tcPr>
          <w:p>
            <w:pPr>
              <w:spacing w:after="0"/>
              <w:rPr>
                <w:sz w:val="7"/>
                <w:szCs w:val="7"/>
                <w:color w:val="auto"/>
              </w:rPr>
            </w:pPr>
          </w:p>
        </w:tc>
        <w:tc>
          <w:tcPr>
            <w:tcW w:w="2520" w:type="dxa"/>
            <w:vAlign w:val="bottom"/>
            <w:shd w:val="clear" w:color="auto" w:fill="1077A9"/>
          </w:tcPr>
          <w:p>
            <w:pPr>
              <w:spacing w:after="0"/>
              <w:rPr>
                <w:sz w:val="7"/>
                <w:szCs w:val="7"/>
                <w:color w:val="auto"/>
              </w:rPr>
            </w:pPr>
          </w:p>
        </w:tc>
        <w:tc>
          <w:tcPr>
            <w:tcW w:w="1540" w:type="dxa"/>
            <w:vAlign w:val="bottom"/>
            <w:vMerge w:val="continue"/>
            <w:shd w:val="clear" w:color="auto" w:fill="1077A9"/>
          </w:tcPr>
          <w:p>
            <w:pPr>
              <w:spacing w:after="0"/>
              <w:rPr>
                <w:sz w:val="7"/>
                <w:szCs w:val="7"/>
                <w:color w:val="auto"/>
              </w:rPr>
            </w:pPr>
          </w:p>
        </w:tc>
        <w:tc>
          <w:tcPr>
            <w:tcW w:w="154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Award (PRSUs) ($)</w:t>
            </w:r>
          </w:p>
        </w:tc>
        <w:tc>
          <w:tcPr>
            <w:tcW w:w="1560" w:type="dxa"/>
            <w:vAlign w:val="bottom"/>
            <w:vMerge w:val="continue"/>
            <w:shd w:val="clear" w:color="auto" w:fill="1077A9"/>
          </w:tcPr>
          <w:p>
            <w:pPr>
              <w:spacing w:after="0"/>
              <w:rPr>
                <w:sz w:val="7"/>
                <w:szCs w:val="7"/>
                <w:color w:val="auto"/>
              </w:rPr>
            </w:pPr>
          </w:p>
        </w:tc>
        <w:tc>
          <w:tcPr>
            <w:tcW w:w="150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Award (TRSUs) ($)</w:t>
            </w:r>
          </w:p>
        </w:tc>
        <w:tc>
          <w:tcPr>
            <w:tcW w:w="0" w:type="dxa"/>
            <w:vAlign w:val="bottom"/>
          </w:tcPr>
          <w:p>
            <w:pPr>
              <w:spacing w:after="0"/>
              <w:rPr>
                <w:sz w:val="1"/>
                <w:szCs w:val="1"/>
                <w:color w:val="auto"/>
              </w:rPr>
            </w:pPr>
          </w:p>
        </w:tc>
      </w:tr>
      <w:tr>
        <w:trPr>
          <w:trHeight w:val="100"/>
        </w:trPr>
        <w:tc>
          <w:tcPr>
            <w:tcW w:w="2580" w:type="dxa"/>
            <w:vAlign w:val="bottom"/>
            <w:tcBorders>
              <w:bottom w:val="single" w:sz="8" w:color="1077A9"/>
            </w:tcBorders>
            <w:shd w:val="clear" w:color="auto" w:fill="1077A9"/>
          </w:tcPr>
          <w:p>
            <w:pPr>
              <w:spacing w:after="0"/>
              <w:rPr>
                <w:sz w:val="8"/>
                <w:szCs w:val="8"/>
                <w:color w:val="auto"/>
              </w:rPr>
            </w:pPr>
          </w:p>
        </w:tc>
        <w:tc>
          <w:tcPr>
            <w:tcW w:w="2520" w:type="dxa"/>
            <w:vAlign w:val="bottom"/>
            <w:tcBorders>
              <w:bottom w:val="single" w:sz="8" w:color="1077A9"/>
            </w:tcBorders>
            <w:shd w:val="clear" w:color="auto" w:fill="1077A9"/>
          </w:tcPr>
          <w:p>
            <w:pPr>
              <w:spacing w:after="0"/>
              <w:rPr>
                <w:sz w:val="8"/>
                <w:szCs w:val="8"/>
                <w:color w:val="auto"/>
              </w:rPr>
            </w:pPr>
          </w:p>
        </w:tc>
        <w:tc>
          <w:tcPr>
            <w:tcW w:w="1540" w:type="dxa"/>
            <w:vAlign w:val="bottom"/>
            <w:tcBorders>
              <w:bottom w:val="single" w:sz="8" w:color="1077A9"/>
            </w:tcBorders>
            <w:shd w:val="clear" w:color="auto" w:fill="1077A9"/>
          </w:tcPr>
          <w:p>
            <w:pPr>
              <w:spacing w:after="0"/>
              <w:rPr>
                <w:sz w:val="8"/>
                <w:szCs w:val="8"/>
                <w:color w:val="auto"/>
              </w:rPr>
            </w:pPr>
          </w:p>
        </w:tc>
        <w:tc>
          <w:tcPr>
            <w:tcW w:w="1540" w:type="dxa"/>
            <w:vAlign w:val="bottom"/>
            <w:tcBorders>
              <w:bottom w:val="single" w:sz="8" w:color="1077A9"/>
            </w:tcBorders>
            <w:vMerge w:val="continue"/>
            <w:shd w:val="clear" w:color="auto" w:fill="1077A9"/>
          </w:tcPr>
          <w:p>
            <w:pPr>
              <w:spacing w:after="0"/>
              <w:rPr>
                <w:sz w:val="8"/>
                <w:szCs w:val="8"/>
                <w:color w:val="auto"/>
              </w:rPr>
            </w:pPr>
          </w:p>
        </w:tc>
        <w:tc>
          <w:tcPr>
            <w:tcW w:w="1560" w:type="dxa"/>
            <w:vAlign w:val="bottom"/>
            <w:tcBorders>
              <w:bottom w:val="single" w:sz="8" w:color="1077A9"/>
            </w:tcBorders>
            <w:shd w:val="clear" w:color="auto" w:fill="1077A9"/>
          </w:tcPr>
          <w:p>
            <w:pPr>
              <w:spacing w:after="0"/>
              <w:rPr>
                <w:sz w:val="8"/>
                <w:szCs w:val="8"/>
                <w:color w:val="auto"/>
              </w:rPr>
            </w:pPr>
          </w:p>
        </w:tc>
        <w:tc>
          <w:tcPr>
            <w:tcW w:w="1500" w:type="dxa"/>
            <w:vAlign w:val="bottom"/>
            <w:tcBorders>
              <w:bottom w:val="single" w:sz="8" w:color="1077A9"/>
            </w:tcBorders>
            <w:vMerge w:val="continue"/>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2520" w:type="dxa"/>
            <w:vAlign w:val="bottom"/>
          </w:tcPr>
          <w:p>
            <w:pPr>
              <w:jc w:val="right"/>
              <w:ind w:right="48"/>
              <w:spacing w:after="0"/>
              <w:rPr>
                <w:sz w:val="20"/>
                <w:szCs w:val="20"/>
                <w:color w:val="auto"/>
              </w:rPr>
            </w:pPr>
            <w:r>
              <w:rPr>
                <w:rFonts w:ascii="Arial" w:cs="Arial" w:eastAsia="Arial" w:hAnsi="Arial"/>
                <w:sz w:val="14"/>
                <w:szCs w:val="14"/>
                <w:color w:val="auto"/>
              </w:rPr>
              <w:t>115.0%</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29,940</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$542,812</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17,509</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$348,774</w:t>
            </w:r>
          </w:p>
        </w:tc>
        <w:tc>
          <w:tcPr>
            <w:tcW w:w="0" w:type="dxa"/>
            <w:vAlign w:val="bottom"/>
          </w:tcPr>
          <w:p>
            <w:pPr>
              <w:spacing w:after="0"/>
              <w:rPr>
                <w:sz w:val="1"/>
                <w:szCs w:val="1"/>
                <w:color w:val="auto"/>
              </w:rPr>
            </w:pPr>
          </w:p>
        </w:tc>
      </w:tr>
      <w:tr>
        <w:trPr>
          <w:trHeight w:val="162"/>
        </w:trPr>
        <w:tc>
          <w:tcPr>
            <w:tcW w:w="2580" w:type="dxa"/>
            <w:vAlign w:val="bottom"/>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2520" w:type="dxa"/>
            <w:vAlign w:val="bottom"/>
            <w:shd w:val="clear" w:color="auto" w:fill="E5E6E6"/>
          </w:tcPr>
          <w:p>
            <w:pPr>
              <w:jc w:val="right"/>
              <w:ind w:right="168"/>
              <w:spacing w:after="0"/>
              <w:rPr>
                <w:sz w:val="20"/>
                <w:szCs w:val="20"/>
                <w:color w:val="auto"/>
              </w:rPr>
            </w:pPr>
            <w:r>
              <w:rPr>
                <w:rFonts w:ascii="Arial" w:cs="Arial" w:eastAsia="Arial" w:hAnsi="Arial"/>
                <w:sz w:val="14"/>
                <w:szCs w:val="14"/>
                <w:color w:val="auto"/>
              </w:rPr>
              <w:t>70.0</w:t>
            </w:r>
          </w:p>
        </w:tc>
        <w:tc>
          <w:tcPr>
            <w:tcW w:w="154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11,358</w:t>
            </w:r>
          </w:p>
        </w:tc>
        <w:tc>
          <w:tcPr>
            <w:tcW w:w="154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205,921</w:t>
            </w:r>
          </w:p>
        </w:tc>
        <w:tc>
          <w:tcPr>
            <w:tcW w:w="156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4,865</w:t>
            </w:r>
          </w:p>
        </w:tc>
        <w:tc>
          <w:tcPr>
            <w:tcW w:w="1500" w:type="dxa"/>
            <w:vAlign w:val="bottom"/>
            <w:shd w:val="clear" w:color="auto" w:fill="E5E6E6"/>
          </w:tcPr>
          <w:p>
            <w:pPr>
              <w:jc w:val="right"/>
              <w:ind w:right="28"/>
              <w:spacing w:after="0"/>
              <w:rPr>
                <w:sz w:val="20"/>
                <w:szCs w:val="20"/>
                <w:color w:val="auto"/>
              </w:rPr>
            </w:pPr>
            <w:r>
              <w:rPr>
                <w:rFonts w:ascii="Arial" w:cs="Arial" w:eastAsia="Arial" w:hAnsi="Arial"/>
                <w:sz w:val="14"/>
                <w:szCs w:val="14"/>
                <w:color w:val="auto"/>
              </w:rPr>
              <w:t>88,202</w:t>
            </w:r>
          </w:p>
        </w:tc>
        <w:tc>
          <w:tcPr>
            <w:tcW w:w="0" w:type="dxa"/>
            <w:vAlign w:val="bottom"/>
          </w:tcPr>
          <w:p>
            <w:pPr>
              <w:spacing w:after="0"/>
              <w:rPr>
                <w:sz w:val="1"/>
                <w:szCs w:val="1"/>
                <w:color w:val="auto"/>
              </w:rPr>
            </w:pPr>
          </w:p>
        </w:tc>
      </w:tr>
      <w:tr>
        <w:trPr>
          <w:trHeight w:val="162"/>
        </w:trPr>
        <w:tc>
          <w:tcPr>
            <w:tcW w:w="258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2520" w:type="dxa"/>
            <w:vAlign w:val="bottom"/>
          </w:tcPr>
          <w:p>
            <w:pPr>
              <w:jc w:val="right"/>
              <w:ind w:right="168"/>
              <w:spacing w:after="0"/>
              <w:rPr>
                <w:sz w:val="20"/>
                <w:szCs w:val="20"/>
                <w:color w:val="auto"/>
              </w:rPr>
            </w:pPr>
            <w:r>
              <w:rPr>
                <w:rFonts w:ascii="Arial" w:cs="Arial" w:eastAsia="Arial" w:hAnsi="Arial"/>
                <w:sz w:val="14"/>
                <w:szCs w:val="14"/>
                <w:color w:val="auto"/>
              </w:rPr>
              <w:t>70.0</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8,924</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161,792</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5,375</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107,832</w:t>
            </w:r>
          </w:p>
        </w:tc>
        <w:tc>
          <w:tcPr>
            <w:tcW w:w="0" w:type="dxa"/>
            <w:vAlign w:val="bottom"/>
          </w:tcPr>
          <w:p>
            <w:pPr>
              <w:spacing w:after="0"/>
              <w:rPr>
                <w:sz w:val="1"/>
                <w:szCs w:val="1"/>
                <w:color w:val="auto"/>
              </w:rPr>
            </w:pPr>
          </w:p>
        </w:tc>
      </w:tr>
      <w:tr>
        <w:trPr>
          <w:trHeight w:val="162"/>
        </w:trPr>
        <w:tc>
          <w:tcPr>
            <w:tcW w:w="2580" w:type="dxa"/>
            <w:vAlign w:val="bottom"/>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2520" w:type="dxa"/>
            <w:vAlign w:val="bottom"/>
            <w:shd w:val="clear" w:color="auto" w:fill="E5E6E6"/>
          </w:tcPr>
          <w:p>
            <w:pPr>
              <w:jc w:val="right"/>
              <w:ind w:right="168"/>
              <w:spacing w:after="0"/>
              <w:rPr>
                <w:sz w:val="20"/>
                <w:szCs w:val="20"/>
                <w:color w:val="auto"/>
              </w:rPr>
            </w:pPr>
            <w:r>
              <w:rPr>
                <w:rFonts w:ascii="Arial" w:cs="Arial" w:eastAsia="Arial" w:hAnsi="Arial"/>
                <w:sz w:val="14"/>
                <w:szCs w:val="14"/>
                <w:color w:val="auto"/>
              </w:rPr>
              <w:t>70.0</w:t>
            </w:r>
          </w:p>
        </w:tc>
        <w:tc>
          <w:tcPr>
            <w:tcW w:w="154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8,924</w:t>
            </w:r>
          </w:p>
        </w:tc>
        <w:tc>
          <w:tcPr>
            <w:tcW w:w="154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161,792</w:t>
            </w:r>
          </w:p>
        </w:tc>
        <w:tc>
          <w:tcPr>
            <w:tcW w:w="156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5,375</w:t>
            </w:r>
          </w:p>
        </w:tc>
        <w:tc>
          <w:tcPr>
            <w:tcW w:w="1500" w:type="dxa"/>
            <w:vAlign w:val="bottom"/>
            <w:shd w:val="clear" w:color="auto" w:fill="E5E6E6"/>
          </w:tcPr>
          <w:p>
            <w:pPr>
              <w:jc w:val="right"/>
              <w:ind w:right="28"/>
              <w:spacing w:after="0"/>
              <w:rPr>
                <w:sz w:val="20"/>
                <w:szCs w:val="20"/>
                <w:color w:val="auto"/>
              </w:rPr>
            </w:pPr>
            <w:r>
              <w:rPr>
                <w:rFonts w:ascii="Arial" w:cs="Arial" w:eastAsia="Arial" w:hAnsi="Arial"/>
                <w:sz w:val="14"/>
                <w:szCs w:val="14"/>
                <w:color w:val="auto"/>
              </w:rPr>
              <w:t>107,832</w:t>
            </w:r>
          </w:p>
        </w:tc>
        <w:tc>
          <w:tcPr>
            <w:tcW w:w="0" w:type="dxa"/>
            <w:vAlign w:val="bottom"/>
          </w:tcPr>
          <w:p>
            <w:pPr>
              <w:spacing w:after="0"/>
              <w:rPr>
                <w:sz w:val="1"/>
                <w:szCs w:val="1"/>
                <w:color w:val="auto"/>
              </w:rPr>
            </w:pPr>
          </w:p>
        </w:tc>
      </w:tr>
      <w:tr>
        <w:trPr>
          <w:trHeight w:val="183"/>
        </w:trPr>
        <w:tc>
          <w:tcPr>
            <w:tcW w:w="2580" w:type="dxa"/>
            <w:vAlign w:val="bottom"/>
            <w:tcBorders>
              <w:bottom w:val="single" w:sz="8" w:color="E5E6E6"/>
            </w:tcBorders>
          </w:tcPr>
          <w:p>
            <w:pPr>
              <w:ind w:left="100"/>
              <w:spacing w:after="0"/>
              <w:rPr>
                <w:sz w:val="20"/>
                <w:szCs w:val="20"/>
                <w:color w:val="auto"/>
              </w:rPr>
            </w:pPr>
            <w:r>
              <w:rPr>
                <w:rFonts w:ascii="Arial" w:cs="Arial" w:eastAsia="Arial" w:hAnsi="Arial"/>
                <w:sz w:val="14"/>
                <w:szCs w:val="14"/>
                <w:color w:val="auto"/>
              </w:rPr>
              <w:t>Melinda Davis Lux</w:t>
            </w:r>
          </w:p>
        </w:tc>
        <w:tc>
          <w:tcPr>
            <w:tcW w:w="2520" w:type="dxa"/>
            <w:vAlign w:val="bottom"/>
            <w:tcBorders>
              <w:bottom w:val="single" w:sz="8" w:color="E5E6E6"/>
            </w:tcBorders>
          </w:tcPr>
          <w:p>
            <w:pPr>
              <w:jc w:val="right"/>
              <w:ind w:right="168"/>
              <w:spacing w:after="0"/>
              <w:rPr>
                <w:sz w:val="20"/>
                <w:szCs w:val="20"/>
                <w:color w:val="auto"/>
              </w:rPr>
            </w:pPr>
            <w:r>
              <w:rPr>
                <w:rFonts w:ascii="Arial" w:cs="Arial" w:eastAsia="Arial" w:hAnsi="Arial"/>
                <w:sz w:val="14"/>
                <w:szCs w:val="14"/>
                <w:color w:val="auto"/>
              </w:rPr>
              <w:t>60.0</w:t>
            </w:r>
          </w:p>
        </w:tc>
        <w:tc>
          <w:tcPr>
            <w:tcW w:w="1540" w:type="dxa"/>
            <w:vAlign w:val="bottom"/>
            <w:tcBorders>
              <w:bottom w:val="single" w:sz="8" w:color="E5E6E6"/>
            </w:tcBorders>
          </w:tcPr>
          <w:p>
            <w:pPr>
              <w:jc w:val="right"/>
              <w:ind w:right="88"/>
              <w:spacing w:after="0"/>
              <w:rPr>
                <w:sz w:val="20"/>
                <w:szCs w:val="20"/>
                <w:color w:val="auto"/>
              </w:rPr>
            </w:pPr>
            <w:r>
              <w:rPr>
                <w:rFonts w:ascii="Arial" w:cs="Arial" w:eastAsia="Arial" w:hAnsi="Arial"/>
                <w:sz w:val="14"/>
                <w:szCs w:val="14"/>
                <w:color w:val="auto"/>
              </w:rPr>
              <w:t>7,534</w:t>
            </w:r>
          </w:p>
        </w:tc>
        <w:tc>
          <w:tcPr>
            <w:tcW w:w="1540" w:type="dxa"/>
            <w:vAlign w:val="bottom"/>
            <w:tcBorders>
              <w:bottom w:val="single" w:sz="8" w:color="E5E6E6"/>
            </w:tcBorders>
          </w:tcPr>
          <w:p>
            <w:pPr>
              <w:jc w:val="right"/>
              <w:ind w:right="88"/>
              <w:spacing w:after="0"/>
              <w:rPr>
                <w:sz w:val="20"/>
                <w:szCs w:val="20"/>
                <w:color w:val="auto"/>
              </w:rPr>
            </w:pPr>
            <w:r>
              <w:rPr>
                <w:rFonts w:ascii="Arial" w:cs="Arial" w:eastAsia="Arial" w:hAnsi="Arial"/>
                <w:sz w:val="14"/>
                <w:szCs w:val="14"/>
                <w:color w:val="auto"/>
              </w:rPr>
              <w:t>136,591</w:t>
            </w:r>
          </w:p>
        </w:tc>
        <w:tc>
          <w:tcPr>
            <w:tcW w:w="1560" w:type="dxa"/>
            <w:vAlign w:val="bottom"/>
            <w:tcBorders>
              <w:bottom w:val="single" w:sz="8" w:color="E5E6E6"/>
            </w:tcBorders>
          </w:tcPr>
          <w:p>
            <w:pPr>
              <w:jc w:val="right"/>
              <w:ind w:right="88"/>
              <w:spacing w:after="0"/>
              <w:rPr>
                <w:sz w:val="20"/>
                <w:szCs w:val="20"/>
                <w:color w:val="auto"/>
              </w:rPr>
            </w:pPr>
            <w:r>
              <w:rPr>
                <w:rFonts w:ascii="Arial" w:cs="Arial" w:eastAsia="Arial" w:hAnsi="Arial"/>
                <w:sz w:val="14"/>
                <w:szCs w:val="14"/>
                <w:color w:val="auto"/>
              </w:rPr>
              <w:t>3,227</w:t>
            </w:r>
          </w:p>
        </w:tc>
        <w:tc>
          <w:tcPr>
            <w:tcW w:w="1500" w:type="dxa"/>
            <w:vAlign w:val="bottom"/>
            <w:tcBorders>
              <w:bottom w:val="single" w:sz="8" w:color="E5E6E6"/>
            </w:tcBorders>
          </w:tcPr>
          <w:p>
            <w:pPr>
              <w:jc w:val="right"/>
              <w:ind w:right="28"/>
              <w:spacing w:after="0"/>
              <w:rPr>
                <w:sz w:val="20"/>
                <w:szCs w:val="20"/>
                <w:color w:val="auto"/>
              </w:rPr>
            </w:pPr>
            <w:r>
              <w:rPr>
                <w:rFonts w:ascii="Arial" w:cs="Arial" w:eastAsia="Arial" w:hAnsi="Arial"/>
                <w:sz w:val="14"/>
                <w:szCs w:val="14"/>
                <w:color w:val="auto"/>
              </w:rPr>
              <w:t>58,506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Annual PRSUs granted in 2020 will vest, if at all, in equal installments with 25% vesting on February 15 of each of the following years: 2022, 2023, 2024 and 2025. Vesting of the PRSUs on each vesting date will be based on our performance in the immediate calendar year before vesting (e.g., the number of awards that vest on February 15, 2022 will be determined by our performance for the 2021 calendar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ind w:right="320"/>
        <w:spacing w:after="0" w:line="237" w:lineRule="auto"/>
        <w:rPr>
          <w:sz w:val="20"/>
          <w:szCs w:val="20"/>
          <w:color w:val="auto"/>
        </w:rPr>
      </w:pPr>
      <w:r>
        <w:rPr>
          <w:rFonts w:ascii="Arial" w:cs="Arial" w:eastAsia="Arial" w:hAnsi="Arial"/>
          <w:sz w:val="18"/>
          <w:szCs w:val="18"/>
          <w:color w:val="auto"/>
        </w:rPr>
        <w:t>The performance measure selected by the Talent and Compensation Committee for the annual PRSUs granted in 2020 is our return on average assets for the applicable performance period relative to the designated peer group of companies, as adjusted by the total shareholder return (“TSR”) modifier relative to the same designated peer group. Specifically, the number of PRSUs subject to vesting on each applicable vesting date will equal (a) a percentage between 0% to 150% determined based on our return on average assets relative to designated peer companies for the applicable performance period, multiplied by the number of target PRSUs, adjusted by (b) the TSR modifier percentage relative to designated peer companies for the applicable performance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return on average assets and TSR modifier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126365</wp:posOffset>
            </wp:positionV>
            <wp:extent cx="17145"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17145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40" w:type="dxa"/>
            <w:vAlign w:val="bottom"/>
            <w:tcBorders>
              <w:bottom w:val="single" w:sz="8" w:color="1077A9"/>
              <w:right w:val="single" w:sz="8" w:color="1077A9"/>
            </w:tcBorders>
            <w:shd w:val="clear" w:color="auto" w:fill="1077A9"/>
          </w:tcPr>
          <w:p>
            <w:pPr>
              <w:ind w:left="80"/>
              <w:spacing w:after="0"/>
              <w:rPr>
                <w:sz w:val="20"/>
                <w:szCs w:val="20"/>
                <w:color w:val="auto"/>
              </w:rPr>
            </w:pPr>
            <w:r>
              <w:rPr>
                <w:rFonts w:ascii="Arial" w:cs="Arial" w:eastAsia="Arial" w:hAnsi="Arial"/>
                <w:sz w:val="14"/>
                <w:szCs w:val="14"/>
                <w:color w:val="FFFFFF"/>
              </w:rPr>
              <w:t>Return on Average Assets</w:t>
            </w:r>
          </w:p>
        </w:tc>
        <w:tc>
          <w:tcPr>
            <w:tcW w:w="5600" w:type="dxa"/>
            <w:vAlign w:val="bottom"/>
            <w:tcBorders>
              <w:bottom w:val="single" w:sz="8" w:color="1077A9"/>
            </w:tcBorders>
            <w:shd w:val="clear" w:color="auto" w:fill="1077A9"/>
          </w:tcPr>
          <w:p>
            <w:pPr>
              <w:ind w:left="60"/>
              <w:spacing w:after="0"/>
              <w:rPr>
                <w:sz w:val="20"/>
                <w:szCs w:val="20"/>
                <w:color w:val="auto"/>
              </w:rPr>
            </w:pPr>
            <w:r>
              <w:rPr>
                <w:rFonts w:ascii="Arial" w:cs="Arial" w:eastAsia="Arial" w:hAnsi="Arial"/>
                <w:sz w:val="14"/>
                <w:szCs w:val="14"/>
                <w:color w:val="FFFFFF"/>
              </w:rPr>
              <w:t>TSR Modifier</w:t>
            </w:r>
          </w:p>
        </w:tc>
      </w:tr>
      <w:tr>
        <w:trPr>
          <w:trHeight w:val="180"/>
        </w:trPr>
        <w:tc>
          <w:tcPr>
            <w:tcW w:w="5640" w:type="dxa"/>
            <w:vAlign w:val="bottom"/>
            <w:tcBorders>
              <w:right w:val="single" w:sz="8" w:color="E5E6E6"/>
            </w:tcBorders>
          </w:tcPr>
          <w:p>
            <w:pPr>
              <w:ind w:left="80"/>
              <w:spacing w:after="0"/>
              <w:rPr>
                <w:sz w:val="20"/>
                <w:szCs w:val="20"/>
                <w:color w:val="auto"/>
              </w:rPr>
            </w:pPr>
            <w:r>
              <w:rPr>
                <w:rFonts w:ascii="Arial" w:cs="Arial" w:eastAsia="Arial" w:hAnsi="Arial"/>
                <w:sz w:val="14"/>
                <w:szCs w:val="14"/>
                <w:color w:val="auto"/>
              </w:rPr>
              <w:t>Return on average assets performance relative to designated peer group of</w:t>
            </w:r>
          </w:p>
        </w:tc>
        <w:tc>
          <w:tcPr>
            <w:tcW w:w="5600" w:type="dxa"/>
            <w:vAlign w:val="bottom"/>
          </w:tcPr>
          <w:p>
            <w:pPr>
              <w:ind w:left="60"/>
              <w:spacing w:after="0"/>
              <w:rPr>
                <w:sz w:val="20"/>
                <w:szCs w:val="20"/>
                <w:color w:val="auto"/>
              </w:rPr>
            </w:pPr>
            <w:r>
              <w:rPr>
                <w:rFonts w:ascii="Arial" w:cs="Arial" w:eastAsia="Arial" w:hAnsi="Arial"/>
                <w:sz w:val="14"/>
                <w:szCs w:val="14"/>
                <w:color w:val="auto"/>
              </w:rPr>
              <w:t>PRSUs determined based on return on average assets percentage for the</w:t>
            </w:r>
          </w:p>
        </w:tc>
      </w:tr>
      <w:tr>
        <w:trPr>
          <w:trHeight w:val="172"/>
        </w:trPr>
        <w:tc>
          <w:tcPr>
            <w:tcW w:w="5640" w:type="dxa"/>
            <w:vAlign w:val="bottom"/>
            <w:tcBorders>
              <w:right w:val="single" w:sz="8" w:color="E5E6E6"/>
            </w:tcBorders>
          </w:tcPr>
          <w:p>
            <w:pPr>
              <w:ind w:left="80"/>
              <w:spacing w:after="0"/>
              <w:rPr>
                <w:sz w:val="20"/>
                <w:szCs w:val="20"/>
                <w:color w:val="auto"/>
              </w:rPr>
            </w:pPr>
            <w:r>
              <w:rPr>
                <w:rFonts w:ascii="Arial" w:cs="Arial" w:eastAsia="Arial" w:hAnsi="Arial"/>
                <w:sz w:val="14"/>
                <w:szCs w:val="14"/>
                <w:color w:val="auto"/>
              </w:rPr>
              <w:t>companies for the performance period as a percentage of target PRSUs</w:t>
            </w:r>
          </w:p>
        </w:tc>
        <w:tc>
          <w:tcPr>
            <w:tcW w:w="5600" w:type="dxa"/>
            <w:vAlign w:val="bottom"/>
          </w:tcPr>
          <w:p>
            <w:pPr>
              <w:ind w:left="60"/>
              <w:spacing w:after="0"/>
              <w:rPr>
                <w:sz w:val="20"/>
                <w:szCs w:val="20"/>
                <w:color w:val="auto"/>
              </w:rPr>
            </w:pPr>
            <w:r>
              <w:rPr>
                <w:rFonts w:ascii="Arial" w:cs="Arial" w:eastAsia="Arial" w:hAnsi="Arial"/>
                <w:sz w:val="14"/>
                <w:szCs w:val="14"/>
                <w:color w:val="auto"/>
              </w:rPr>
              <w:t>performance period is adjusted +/- 25% based on relative total shareholder return</w:t>
            </w:r>
          </w:p>
        </w:tc>
      </w:tr>
      <w:tr>
        <w:trPr>
          <w:trHeight w:val="228"/>
        </w:trPr>
        <w:tc>
          <w:tcPr>
            <w:tcW w:w="5640" w:type="dxa"/>
            <w:vAlign w:val="bottom"/>
            <w:tcBorders>
              <w:right w:val="single" w:sz="8" w:color="E5E6E6"/>
            </w:tcBorders>
          </w:tcPr>
          <w:p>
            <w:pPr>
              <w:spacing w:after="0"/>
              <w:rPr>
                <w:sz w:val="19"/>
                <w:szCs w:val="19"/>
                <w:color w:val="auto"/>
              </w:rPr>
            </w:pPr>
          </w:p>
        </w:tc>
        <w:tc>
          <w:tcPr>
            <w:tcW w:w="5600" w:type="dxa"/>
            <w:vAlign w:val="bottom"/>
          </w:tcPr>
          <w:p>
            <w:pPr>
              <w:spacing w:after="0"/>
              <w:rPr>
                <w:sz w:val="19"/>
                <w:szCs w:val="19"/>
                <w:color w:val="auto"/>
              </w:rPr>
            </w:pPr>
          </w:p>
        </w:tc>
      </w:tr>
      <w:tr>
        <w:trPr>
          <w:trHeight w:val="180"/>
        </w:trPr>
        <w:tc>
          <w:tcPr>
            <w:tcW w:w="564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25th Percentile = Threshold (0% of Target)</w:t>
            </w:r>
          </w:p>
        </w:tc>
        <w:tc>
          <w:tcPr>
            <w:tcW w:w="5600" w:type="dxa"/>
            <w:vAlign w:val="bottom"/>
            <w:shd w:val="clear" w:color="auto" w:fill="E5E6E6"/>
          </w:tcPr>
          <w:p>
            <w:pPr>
              <w:ind w:left="60"/>
              <w:spacing w:after="0"/>
              <w:rPr>
                <w:sz w:val="20"/>
                <w:szCs w:val="20"/>
                <w:color w:val="auto"/>
              </w:rPr>
            </w:pPr>
            <w:r>
              <w:rPr>
                <w:rFonts w:ascii="Arial" w:cs="Arial" w:eastAsia="Arial" w:hAnsi="Arial"/>
                <w:sz w:val="14"/>
                <w:szCs w:val="14"/>
                <w:color w:val="auto"/>
              </w:rPr>
              <w:t>25th Percentile = Threshold (-25%)</w:t>
            </w:r>
          </w:p>
        </w:tc>
      </w:tr>
      <w:tr>
        <w:trPr>
          <w:trHeight w:val="162"/>
        </w:trPr>
        <w:tc>
          <w:tcPr>
            <w:tcW w:w="564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50th Percentile = Target (100% of Target)</w:t>
            </w:r>
          </w:p>
        </w:tc>
        <w:tc>
          <w:tcPr>
            <w:tcW w:w="5600" w:type="dxa"/>
            <w:vAlign w:val="bottom"/>
            <w:shd w:val="clear" w:color="auto" w:fill="E5E6E6"/>
          </w:tcPr>
          <w:p>
            <w:pPr>
              <w:ind w:left="60"/>
              <w:spacing w:after="0"/>
              <w:rPr>
                <w:sz w:val="20"/>
                <w:szCs w:val="20"/>
                <w:color w:val="auto"/>
              </w:rPr>
            </w:pPr>
            <w:r>
              <w:rPr>
                <w:rFonts w:ascii="Arial" w:cs="Arial" w:eastAsia="Arial" w:hAnsi="Arial"/>
                <w:sz w:val="14"/>
                <w:szCs w:val="14"/>
                <w:color w:val="auto"/>
              </w:rPr>
              <w:t>50th Percentile = Target (0%)</w:t>
            </w:r>
          </w:p>
        </w:tc>
      </w:tr>
      <w:tr>
        <w:trPr>
          <w:trHeight w:val="171"/>
        </w:trPr>
        <w:tc>
          <w:tcPr>
            <w:tcW w:w="564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75th Percentile = Maximum (150% of Target)</w:t>
            </w:r>
          </w:p>
        </w:tc>
        <w:tc>
          <w:tcPr>
            <w:tcW w:w="5600" w:type="dxa"/>
            <w:vAlign w:val="bottom"/>
            <w:shd w:val="clear" w:color="auto" w:fill="E5E6E6"/>
          </w:tcPr>
          <w:p>
            <w:pPr>
              <w:ind w:left="60"/>
              <w:spacing w:after="0"/>
              <w:rPr>
                <w:sz w:val="20"/>
                <w:szCs w:val="20"/>
                <w:color w:val="auto"/>
              </w:rPr>
            </w:pPr>
            <w:r>
              <w:rPr>
                <w:rFonts w:ascii="Arial" w:cs="Arial" w:eastAsia="Arial" w:hAnsi="Arial"/>
                <w:sz w:val="14"/>
                <w:szCs w:val="14"/>
                <w:color w:val="auto"/>
              </w:rPr>
              <w:t>75th Percentile = Maximum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-325120</wp:posOffset>
            </wp:positionV>
            <wp:extent cx="17145" cy="677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 cy="677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234" w:lineRule="exact"/>
        <w:rPr>
          <w:sz w:val="20"/>
          <w:szCs w:val="20"/>
          <w:color w:val="auto"/>
        </w:rPr>
      </w:pPr>
    </w:p>
    <w:p>
      <w:pPr>
        <w:ind w:left="80"/>
        <w:spacing w:after="0" w:line="258" w:lineRule="auto"/>
        <w:rPr>
          <w:sz w:val="20"/>
          <w:szCs w:val="20"/>
          <w:color w:val="auto"/>
        </w:rPr>
      </w:pPr>
      <w:r>
        <w:rPr>
          <w:rFonts w:ascii="Arial" w:cs="Arial" w:eastAsia="Arial" w:hAnsi="Arial"/>
          <w:sz w:val="14"/>
          <w:szCs w:val="14"/>
          <w:color w:val="auto"/>
        </w:rPr>
        <w:t>The return on average assets percentage shall be interpolated between payout levels for performance between performance levels.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640"/>
        <w:spacing w:after="0" w:line="258" w:lineRule="auto"/>
        <w:rPr>
          <w:sz w:val="20"/>
          <w:szCs w:val="20"/>
          <w:color w:val="auto"/>
        </w:rPr>
      </w:pPr>
      <w:r>
        <w:rPr>
          <w:rFonts w:ascii="Arial" w:cs="Arial" w:eastAsia="Arial" w:hAnsi="Arial"/>
          <w:sz w:val="14"/>
          <w:szCs w:val="14"/>
          <w:color w:val="auto"/>
        </w:rPr>
        <w:t>The TSR modifier percentage shall be interpolated between payout levels for performance between performance levels.</w:t>
      </w:r>
    </w:p>
    <w:p>
      <w:pPr>
        <w:spacing w:after="0" w:line="170" w:lineRule="exact"/>
        <w:rPr>
          <w:sz w:val="20"/>
          <w:szCs w:val="20"/>
          <w:color w:val="auto"/>
        </w:rPr>
      </w:pPr>
    </w:p>
    <w:p>
      <w:pPr>
        <w:sectPr>
          <w:pgSz w:w="11900" w:h="16838" w:orient="portrait"/>
          <w:cols w:equalWidth="0" w:num="2">
            <w:col w:w="5520" w:space="180"/>
            <w:col w:w="5540"/>
          </w:cols>
          <w:pgMar w:left="320" w:top="355"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 benchmark group of publicly-traded financial institutions against which the performance criteria will be measured relative to the 2020</w:t>
      </w:r>
    </w:p>
    <w:p>
      <w:pPr>
        <w:spacing w:after="0"/>
        <w:rPr>
          <w:sz w:val="20"/>
          <w:szCs w:val="20"/>
          <w:color w:val="auto"/>
        </w:rPr>
      </w:pPr>
      <w:r>
        <w:rPr>
          <w:rFonts w:ascii="Arial" w:cs="Arial" w:eastAsia="Arial" w:hAnsi="Arial"/>
          <w:sz w:val="18"/>
          <w:szCs w:val="18"/>
          <w:color w:val="auto"/>
        </w:rPr>
        <w:t>PRSUs equity incentive awards granted to the NEOs (the “2020 PRSU Peer Group”)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126365</wp:posOffset>
            </wp:positionV>
            <wp:extent cx="17145"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17145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126365</wp:posOffset>
            </wp:positionV>
            <wp:extent cx="1714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17145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126365</wp:posOffset>
            </wp:positionV>
            <wp:extent cx="1714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17145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126365</wp:posOffset>
            </wp:positionV>
            <wp:extent cx="17145"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 cy="17145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280" w:type="dxa"/>
            <w:vAlign w:val="bottom"/>
            <w:tcBorders>
              <w:right w:val="single" w:sz="8" w:color="1077A9"/>
            </w:tcBorders>
            <w:shd w:val="clear" w:color="auto" w:fill="1077A9"/>
          </w:tcPr>
          <w:p>
            <w:pPr>
              <w:ind w:left="100"/>
              <w:spacing w:after="0"/>
              <w:rPr>
                <w:sz w:val="20"/>
                <w:szCs w:val="20"/>
                <w:color w:val="auto"/>
              </w:rPr>
            </w:pPr>
            <w:r>
              <w:rPr>
                <w:rFonts w:ascii="Arial" w:cs="Arial" w:eastAsia="Arial" w:hAnsi="Arial"/>
                <w:sz w:val="14"/>
                <w:szCs w:val="14"/>
                <w:color w:val="FFFFFF"/>
              </w:rPr>
              <w:t>Company Name</w:t>
            </w:r>
            <w:r>
              <w:rPr>
                <w:rFonts w:ascii="Arial" w:cs="Arial" w:eastAsia="Arial" w:hAnsi="Arial"/>
                <w:sz w:val="23"/>
                <w:szCs w:val="23"/>
                <w:color w:val="FFFFFF"/>
                <w:vertAlign w:val="superscript"/>
              </w:rPr>
              <w:t>1</w:t>
            </w:r>
          </w:p>
        </w:tc>
        <w:tc>
          <w:tcPr>
            <w:tcW w:w="2260" w:type="dxa"/>
            <w:vAlign w:val="bottom"/>
            <w:tcBorders>
              <w:right w:val="single" w:sz="8" w:color="1077A9"/>
            </w:tcBorders>
            <w:shd w:val="clear" w:color="auto" w:fill="1077A9"/>
          </w:tcPr>
          <w:p>
            <w:pPr>
              <w:jc w:val="center"/>
              <w:spacing w:after="0"/>
              <w:rPr>
                <w:sz w:val="20"/>
                <w:szCs w:val="20"/>
                <w:color w:val="auto"/>
              </w:rPr>
            </w:pPr>
            <w:r>
              <w:rPr>
                <w:rFonts w:ascii="Arial" w:cs="Arial" w:eastAsia="Arial" w:hAnsi="Arial"/>
                <w:sz w:val="14"/>
                <w:szCs w:val="14"/>
                <w:color w:val="FFFFFF"/>
                <w:w w:val="99"/>
              </w:rPr>
              <w:t>Ticker</w:t>
            </w:r>
          </w:p>
        </w:tc>
        <w:tc>
          <w:tcPr>
            <w:tcW w:w="2240" w:type="dxa"/>
            <w:vAlign w:val="bottom"/>
            <w:tcBorders>
              <w:right w:val="single" w:sz="8" w:color="1077A9"/>
            </w:tcBorders>
            <w:shd w:val="clear" w:color="auto" w:fill="1077A9"/>
          </w:tcPr>
          <w:p>
            <w:pPr>
              <w:jc w:val="center"/>
              <w:spacing w:after="0"/>
              <w:rPr>
                <w:sz w:val="20"/>
                <w:szCs w:val="20"/>
                <w:color w:val="auto"/>
              </w:rPr>
            </w:pPr>
            <w:r>
              <w:rPr>
                <w:rFonts w:ascii="Arial" w:cs="Arial" w:eastAsia="Arial" w:hAnsi="Arial"/>
                <w:sz w:val="14"/>
                <w:szCs w:val="14"/>
                <w:color w:val="FFFFFF"/>
                <w:w w:val="99"/>
              </w:rPr>
              <w:t>City</w:t>
            </w:r>
          </w:p>
        </w:tc>
        <w:tc>
          <w:tcPr>
            <w:tcW w:w="2240" w:type="dxa"/>
            <w:vAlign w:val="bottom"/>
            <w:tcBorders>
              <w:right w:val="single" w:sz="8" w:color="1077A9"/>
            </w:tcBorders>
            <w:shd w:val="clear" w:color="auto" w:fill="1077A9"/>
          </w:tcPr>
          <w:p>
            <w:pPr>
              <w:jc w:val="center"/>
              <w:spacing w:after="0"/>
              <w:rPr>
                <w:sz w:val="20"/>
                <w:szCs w:val="20"/>
                <w:color w:val="auto"/>
              </w:rPr>
            </w:pPr>
            <w:r>
              <w:rPr>
                <w:rFonts w:ascii="Arial" w:cs="Arial" w:eastAsia="Arial" w:hAnsi="Arial"/>
                <w:sz w:val="14"/>
                <w:szCs w:val="14"/>
                <w:color w:val="FFFFFF"/>
                <w:w w:val="97"/>
              </w:rPr>
              <w:t>State</w:t>
            </w:r>
          </w:p>
        </w:tc>
        <w:tc>
          <w:tcPr>
            <w:tcW w:w="2220" w:type="dxa"/>
            <w:vAlign w:val="bottom"/>
            <w:shd w:val="clear" w:color="auto" w:fill="1077A9"/>
          </w:tcPr>
          <w:p>
            <w:pPr>
              <w:jc w:val="right"/>
              <w:ind w:right="288"/>
              <w:spacing w:after="0"/>
              <w:rPr>
                <w:sz w:val="20"/>
                <w:szCs w:val="20"/>
                <w:color w:val="auto"/>
              </w:rPr>
            </w:pPr>
            <w:r>
              <w:rPr>
                <w:rFonts w:ascii="Arial" w:cs="Arial" w:eastAsia="Arial" w:hAnsi="Arial"/>
                <w:sz w:val="14"/>
                <w:szCs w:val="14"/>
                <w:color w:val="FFFFFF"/>
              </w:rPr>
              <w:t>Total Assets 2020Y ($000)</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Ameris Bancorp</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9"/>
              </w:rPr>
              <w:t>ABCB</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Atlanta</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8"/>
              </w:rPr>
              <w:t>GA</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$ 20,438,638</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Atlantic Union Bkshs Corp.</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AUB</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Richmond</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VA</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19,628,449</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BancorpSouth Bank</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BXS</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Tupelo</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5"/>
              </w:rPr>
              <w:t>MS</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24,081,194</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Cadence Bancorp.</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7"/>
              </w:rPr>
              <w:t>CADE</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Houston</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TX</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18,712,567</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First Busey Corp.</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9"/>
              </w:rPr>
              <w:t>BUSE</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Champaign</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IL</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10,544,047</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First Commonwealth Financial</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FCF</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Indiana</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PA</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9,068,104</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First Financial Bancorp.</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FFBC</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Cincinnati</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5"/>
              </w:rPr>
              <w:t>OH</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15,973,134</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First Financial Bankshares</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FFIN</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Abilene</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TX</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10,904,500</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First Merchants Corp.</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FRME</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Muncie</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IN</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14,067,210</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Fulton Financial Corp.</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7"/>
              </w:rPr>
              <w:t>FULT</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Lancaster</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PA</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25,906,733</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Heartland Financial USA Inc.</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HTLF</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Dubuque</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0"/>
              </w:rPr>
              <w:t>IA</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17,908,339</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Old National Bancorp</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8"/>
              </w:rPr>
              <w:t>ONB</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Evansville</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IN</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22,960,622</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Park National Corp.</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PRK</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Newark</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5"/>
              </w:rPr>
              <w:t>OH</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9,279,021</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Pinnacle Financial Partners</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PNFP</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Nashville</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TN</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34,932,860</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Renasant Corp.</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9"/>
              </w:rPr>
              <w:t>RNST</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Tupelo</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5"/>
              </w:rPr>
              <w:t>MS</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14,929,666</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S&amp;T Bancorp Inc.</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STBA</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Indiana</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PA</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8,967,897</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Sandy Spring Bancorp Inc.</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9"/>
              </w:rPr>
              <w:t>SASR</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Olney</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MD</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12,798,429</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Simmons First National Corp.</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9"/>
              </w:rPr>
              <w:t>SFNC</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Pine Bluff</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AR</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22,359,752</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South State Corporation</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SSB</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Winter Haven</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7"/>
              </w:rPr>
              <w:t>FL</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37,789,873</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TowneBank</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8"/>
              </w:rPr>
              <w:t>TOWN</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Portsmouth</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6"/>
              </w:rPr>
              <w:t>VA</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14,626,444</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Trustmark Corp.</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TRMK</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Jackson</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w w:val="95"/>
              </w:rPr>
              <w:t>MS</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16,551,840</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UMB Financial Corp.</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UMBF</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Kansas City</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MO</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33,127,504</w:t>
            </w:r>
          </w:p>
        </w:tc>
      </w:tr>
      <w:tr>
        <w:trPr>
          <w:trHeight w:val="189"/>
        </w:trPr>
        <w:tc>
          <w:tcPr>
            <w:tcW w:w="228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United Bankshares Inc.</w:t>
            </w:r>
          </w:p>
        </w:tc>
        <w:tc>
          <w:tcPr>
            <w:tcW w:w="226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UBSI</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Charleston</w:t>
            </w:r>
          </w:p>
        </w:tc>
        <w:tc>
          <w:tcPr>
            <w:tcW w:w="2240" w:type="dxa"/>
            <w:vAlign w:val="bottom"/>
            <w:tcBorders>
              <w:right w:val="single" w:sz="8" w:color="E5E6E6"/>
            </w:tcBorders>
          </w:tcPr>
          <w:p>
            <w:pPr>
              <w:jc w:val="center"/>
              <w:spacing w:after="0"/>
              <w:rPr>
                <w:sz w:val="20"/>
                <w:szCs w:val="20"/>
                <w:color w:val="auto"/>
              </w:rPr>
            </w:pPr>
            <w:r>
              <w:rPr>
                <w:rFonts w:ascii="Arial" w:cs="Arial" w:eastAsia="Arial" w:hAnsi="Arial"/>
                <w:sz w:val="14"/>
                <w:szCs w:val="14"/>
                <w:color w:val="auto"/>
              </w:rPr>
              <w:t>WV</w:t>
            </w:r>
          </w:p>
        </w:tc>
        <w:tc>
          <w:tcPr>
            <w:tcW w:w="2220" w:type="dxa"/>
            <w:vAlign w:val="bottom"/>
          </w:tcPr>
          <w:p>
            <w:pPr>
              <w:jc w:val="right"/>
              <w:ind w:right="288"/>
              <w:spacing w:after="0"/>
              <w:rPr>
                <w:sz w:val="20"/>
                <w:szCs w:val="20"/>
                <w:color w:val="auto"/>
              </w:rPr>
            </w:pPr>
            <w:r>
              <w:rPr>
                <w:rFonts w:ascii="Arial" w:cs="Arial" w:eastAsia="Arial" w:hAnsi="Arial"/>
                <w:sz w:val="14"/>
                <w:szCs w:val="14"/>
                <w:color w:val="auto"/>
              </w:rPr>
              <w:t>26,184,247</w:t>
            </w:r>
          </w:p>
        </w:tc>
      </w:tr>
      <w:tr>
        <w:trPr>
          <w:trHeight w:val="189"/>
        </w:trPr>
        <w:tc>
          <w:tcPr>
            <w:tcW w:w="2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WesBanco Inc.</w:t>
            </w:r>
          </w:p>
        </w:tc>
        <w:tc>
          <w:tcPr>
            <w:tcW w:w="22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w w:val="99"/>
              </w:rPr>
              <w:t>WSBC</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Wheeling</w:t>
            </w:r>
          </w:p>
        </w:tc>
        <w:tc>
          <w:tcPr>
            <w:tcW w:w="22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WV</w:t>
            </w:r>
          </w:p>
        </w:tc>
        <w:tc>
          <w:tcPr>
            <w:tcW w:w="22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16,425,610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-119380</wp:posOffset>
            </wp:positionV>
            <wp:extent cx="17145" cy="1200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-119380</wp:posOffset>
            </wp:positionV>
            <wp:extent cx="17145" cy="1200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-119380</wp:posOffset>
            </wp:positionV>
            <wp:extent cx="17145" cy="1200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-119380</wp:posOffset>
            </wp:positionV>
            <wp:extent cx="17145" cy="1200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-359410</wp:posOffset>
            </wp:positionV>
            <wp:extent cx="17145" cy="1200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-359410</wp:posOffset>
            </wp:positionV>
            <wp:extent cx="17145" cy="1200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-359410</wp:posOffset>
            </wp:positionV>
            <wp:extent cx="17145" cy="1200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-359410</wp:posOffset>
            </wp:positionV>
            <wp:extent cx="17145" cy="1200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-599440</wp:posOffset>
            </wp:positionV>
            <wp:extent cx="17145" cy="1200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-599440</wp:posOffset>
            </wp:positionV>
            <wp:extent cx="17145" cy="1200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-599440</wp:posOffset>
            </wp:positionV>
            <wp:extent cx="17145" cy="120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-599440</wp:posOffset>
            </wp:positionV>
            <wp:extent cx="17145" cy="1200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-839470</wp:posOffset>
            </wp:positionV>
            <wp:extent cx="17145" cy="1200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-839470</wp:posOffset>
            </wp:positionV>
            <wp:extent cx="17145" cy="1200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-839470</wp:posOffset>
            </wp:positionV>
            <wp:extent cx="17145" cy="1200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-839470</wp:posOffset>
            </wp:positionV>
            <wp:extent cx="17145" cy="1200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-1079500</wp:posOffset>
            </wp:positionV>
            <wp:extent cx="17145" cy="1200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-1079500</wp:posOffset>
            </wp:positionV>
            <wp:extent cx="17145" cy="1200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-1079500</wp:posOffset>
            </wp:positionV>
            <wp:extent cx="17145" cy="1200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-1079500</wp:posOffset>
            </wp:positionV>
            <wp:extent cx="17145" cy="120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-1319530</wp:posOffset>
            </wp:positionV>
            <wp:extent cx="17145" cy="1200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-1319530</wp:posOffset>
            </wp:positionV>
            <wp:extent cx="17145"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-1319530</wp:posOffset>
            </wp:positionV>
            <wp:extent cx="17145" cy="120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-1319530</wp:posOffset>
            </wp:positionV>
            <wp:extent cx="17145" cy="120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-1559560</wp:posOffset>
            </wp:positionV>
            <wp:extent cx="17145" cy="1200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-1559560</wp:posOffset>
            </wp:positionV>
            <wp:extent cx="17145" cy="1200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-1559560</wp:posOffset>
            </wp:positionV>
            <wp:extent cx="17145" cy="1200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-1559560</wp:posOffset>
            </wp:positionV>
            <wp:extent cx="17145" cy="1200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-1799590</wp:posOffset>
            </wp:positionV>
            <wp:extent cx="17145" cy="1200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-1799590</wp:posOffset>
            </wp:positionV>
            <wp:extent cx="17145" cy="1200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-1799590</wp:posOffset>
            </wp:positionV>
            <wp:extent cx="17145" cy="1200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-1799590</wp:posOffset>
            </wp:positionV>
            <wp:extent cx="17145" cy="1200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-2039620</wp:posOffset>
            </wp:positionV>
            <wp:extent cx="17145" cy="1200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-2039620</wp:posOffset>
            </wp:positionV>
            <wp:extent cx="17145"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-2039620</wp:posOffset>
            </wp:positionV>
            <wp:extent cx="17145" cy="1200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-2039620</wp:posOffset>
            </wp:positionV>
            <wp:extent cx="17145" cy="120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-2279650</wp:posOffset>
            </wp:positionV>
            <wp:extent cx="17145" cy="1200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-2279650</wp:posOffset>
            </wp:positionV>
            <wp:extent cx="17145" cy="1200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-2279650</wp:posOffset>
            </wp:positionV>
            <wp:extent cx="17145" cy="1200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-2279650</wp:posOffset>
            </wp:positionV>
            <wp:extent cx="17145" cy="1200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-2519680</wp:posOffset>
            </wp:positionV>
            <wp:extent cx="17145" cy="1200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-2519680</wp:posOffset>
            </wp:positionV>
            <wp:extent cx="17145" cy="1200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-2519680</wp:posOffset>
            </wp:positionV>
            <wp:extent cx="17145" cy="1200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-2519680</wp:posOffset>
            </wp:positionV>
            <wp:extent cx="17145" cy="1200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-2759710</wp:posOffset>
            </wp:positionV>
            <wp:extent cx="17145" cy="1200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-2759710</wp:posOffset>
            </wp:positionV>
            <wp:extent cx="17145" cy="1200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-2759710</wp:posOffset>
            </wp:positionV>
            <wp:extent cx="17145" cy="1200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 cy="12001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-2759710</wp:posOffset>
            </wp:positionV>
            <wp:extent cx="17145" cy="1200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145" cy="120015"/>
                    </a:xfrm>
                    <a:prstGeom prst="rect">
                      <a:avLst/>
                    </a:prstGeom>
                    <a:noFill/>
                  </pic:spPr>
                </pic:pic>
              </a:graphicData>
            </a:graphic>
          </wp:anchor>
        </w:drawing>
      </w:r>
    </w:p>
    <w:p>
      <w:pPr>
        <w:spacing w:after="0" w:line="187" w:lineRule="exact"/>
        <w:rPr>
          <w:sz w:val="20"/>
          <w:szCs w:val="20"/>
          <w:color w:val="auto"/>
        </w:rPr>
      </w:pPr>
    </w:p>
    <w:p>
      <w:pPr>
        <w:ind w:left="140" w:right="40" w:hanging="132"/>
        <w:spacing w:after="0" w:line="241" w:lineRule="auto"/>
        <w:tabs>
          <w:tab w:leader="none" w:pos="140" w:val="left"/>
        </w:tabs>
        <w:numPr>
          <w:ilvl w:val="0"/>
          <w:numId w:val="42"/>
        </w:numPr>
        <w:rPr>
          <w:rFonts w:ascii="Arial" w:cs="Arial" w:eastAsia="Arial" w:hAnsi="Arial"/>
          <w:sz w:val="15"/>
          <w:szCs w:val="15"/>
          <w:color w:val="auto"/>
        </w:rPr>
      </w:pPr>
      <w:r>
        <w:rPr>
          <w:rFonts w:ascii="Arial" w:cs="Arial" w:eastAsia="Arial" w:hAnsi="Arial"/>
          <w:sz w:val="14"/>
          <w:szCs w:val="14"/>
          <w:color w:val="auto"/>
        </w:rPr>
        <w:t>The following publicly-traded financial institutions that were included in the benchmark group used to set 2020 compensation were removed from the 2020 PRSU Peer Group: Independent Bank Group, Inc. – as a result of the announcement of their intention to enter into a “merger of equals” with Texas Capital Bancshares, Inc. at the time of peer group selection (although the deal was terminated subsequent to the peer group being finalized); LegacyTexas Financial Group, Inc. – as a result of its acquisition in November 2019. The following publicly-traded financial institutions were added to the 2020 PRSU Peer Group: First Busey Corporation and Heartland Financial USA, Inc. – as a result of having met our geographic criteria that was expanded in 2020 as United continues to expand its geographic footprint; Park National Corporation – as a result of having met our commercial loans criteria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Talent and Compensation Committee may make appropriate adjustments to this group of peer companies, including retroactively to the first day of the performance period, in the event of any unusual or nonrecurring events that impact such peer companies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42" w:name="page43"/>
    <w:bookmarkEnd w:id="42"/>
    <w:p>
      <w:pPr>
        <w:ind w:right="400"/>
        <w:spacing w:after="0" w:line="246" w:lineRule="auto"/>
        <w:rPr>
          <w:sz w:val="20"/>
          <w:szCs w:val="20"/>
          <w:color w:val="auto"/>
        </w:rPr>
      </w:pPr>
      <w:r>
        <w:rPr>
          <w:rFonts w:ascii="Arial" w:cs="Arial" w:eastAsia="Arial" w:hAnsi="Arial"/>
          <w:sz w:val="18"/>
          <w:szCs w:val="18"/>
          <w:color w:val="auto"/>
        </w:rPr>
        <w:t>Annual TRSUs granted in 2020 will vest in equal installments with 25% vesting on November 15, 2021 and then on August 15 of each of 2022, 2023 and 2024 assuming the executives remain employed with us, subject to certain exceptions.</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part of the annual equity incentive award process for 2020, the Talent and Compensation Committee evaluated the market positioning of our NEOs as a result of the acquisition of Seaside National Bank &amp; Trust in July 2020. In order to ensure competitive market positioning for our executives, the Talent and Compensation Committee increased the long-term incentive opportunities for Messers. Harton, Bradshaw and Edwards to 115%, 70% and 70%, respectively. As a result, the Talent and Compensation Committee made additional equity grants in December 2020 to align these executives with the desired market positioning. In deciding to grant the awards, the Talent and Compensation Committee considered market data provided by McLagan with respect to the total compensation of executives in comparable roles with peer group companies of comparable size (after the acquisition of Seaside National Bank &amp; Trust) as well as market data with respect to the allocation of long-term equity incentive awards as compared to total compensation for executives in comparable roles with peer group companies of comparable size (after the acquisition of Seaside National Bank &amp; Trust).</w:t>
      </w:r>
    </w:p>
    <w:p>
      <w:pPr>
        <w:spacing w:after="0" w:line="19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addition, Ms. Davis Lux was granted TRSUs in March 2020 in connection with joining the Company as Executive Vice President, General Counsel and Corporate Secretary. These TRSUs will vest in equal installments with 25% vesting on May 15, 2021 and then on February 15 of each of 2022, 2023 and 2024 assuming Ms. Davis Lux remains employed with us, subject to certain exceptions.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Perquisites and Other Compensation</w:t>
      </w:r>
    </w:p>
    <w:p>
      <w:pPr>
        <w:spacing w:after="0" w:line="1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provide executive officers with perquisites and other personal benefits that the Company and our Talent and Compensation Committee believe are reasonable and consistent with its overall compensation program. These perquisites include car allowances and payment of club dues for certain of our executive officers. Our Talent and Compensation Committee periodically reviews the levels and appropriateness of perquisites and other personal benefits provided to executive officers. The Committee believes that the perquisites and other personal benefits further the goals of the Company and are not material with respect to the overall compensation of our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1077A9"/>
        </w:rPr>
        <w:t>Retirement and Other Benefits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077A9"/>
        </w:rPr>
        <w:t>401(k)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employees, including our executive officers, are eligible to participate in our 401(k) Plan for which we provide matching contributions.</w:t>
      </w:r>
    </w:p>
    <w:p>
      <w:pPr>
        <w:spacing w:after="0"/>
        <w:rPr>
          <w:sz w:val="20"/>
          <w:szCs w:val="20"/>
          <w:color w:val="auto"/>
        </w:rPr>
      </w:pPr>
      <w:r>
        <w:rPr>
          <w:rFonts w:ascii="Arial" w:cs="Arial" w:eastAsia="Arial" w:hAnsi="Arial"/>
          <w:sz w:val="18"/>
          <w:szCs w:val="18"/>
          <w:color w:val="auto"/>
        </w:rPr>
        <w:t>Our matching contributions currently are 100% of employee deferrals up to 5% of eligible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077A9"/>
        </w:rPr>
        <w:t>Deferred Compensation Plan</w:t>
      </w:r>
    </w:p>
    <w:p>
      <w:pPr>
        <w:spacing w:after="0" w:line="19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Select members of senior management and certain other highly compensated employees, including our executive officers, are eligible to participate in our nonqualified Deferred Compensation Plan (“DCP”). Pursuant to the DCP, eligible employees can defer certain compensation on a pre-tax basis. The DCP provides for the deferral of up to 75% of annual base salary and up to 100% of annual cash bonus payments or nonequity incentive awards and other specified benefits to certain key employees. The DCP also allows for employer matching contributions for employee contributions that would have been paid under our tax-qualified 401(k) plan if such matching contributions would otherwise exceed the maximum allowable amounts under the 401(k) Plan. Our matching contributions currently are 100% of employee deferrals up to 5% of eligible compensation. In addition, the DCP provides for the deferral of up to 100% of director fees for service by a nonemployee director on our Board and for service by select nonemployee directors on our community bank boards.</w:t>
      </w:r>
    </w:p>
    <w:p>
      <w:pPr>
        <w:spacing w:after="0" w:line="19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Participants are 100% vested in their DCP contributions including earnings or losses thereon. Company contributions, including earnings and losses thereon, vest over a three-year period.</w:t>
      </w:r>
    </w:p>
    <w:p>
      <w:pPr>
        <w:spacing w:after="0" w:line="18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When a participant retires or becomes disabled, we will pay the participant his or her vested benefits as elected by the participant, generally in a lump sum or in annual installments over a period of up to ten years. A participant may also elect to receive scheduled in-service distributions of his or her deferral account during employment in a lump sum or in annual installments over a period of up to five years. All payments are taxable to the participants. See Nonqualified Deferred Compensation for additional information about benefits provided to the NEOs under the DCP.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1077A9"/>
        </w:rPr>
        <w:t>Modified Retirement Plan</w:t>
      </w:r>
    </w:p>
    <w:p>
      <w:pPr>
        <w:spacing w:after="0" w:line="19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Modified Retirement Plan provides annual benefits (paid monthly) that are generally paid at normal retirement in the form of a 100% survivor annuity, are calculated based on a participant’s seniority and position and generally range from 20% to 30% of the participant’s base salary. Normal retirement is defined under the Modified Retirement Plan as attainment of age 65 and completion of at least five years of service.</w:t>
      </w:r>
    </w:p>
    <w:p>
      <w:pPr>
        <w:spacing w:after="0" w:line="19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Beginning in 2020, the Board determined that it will not offer participation in the Modified Retirement Plan to any employee of United who is not already a participant nor will it enhance existing benefits for any current participants.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Pension Benefits for additional information about benefits provided to the NEOs under the Modified Retirement Plan.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Other Post-Employment Payments and Severance Benefits</w:t>
      </w:r>
    </w:p>
    <w:p>
      <w:pPr>
        <w:spacing w:after="0" w:line="22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All of our executive officers are employees-at-will and do not currently have employment contracts with us. Certain payments (including those that might be accelerated under the Modified Retirement Plan) will be made upon a termination of employment or a change of control.</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change-in-control severance agreements with each of our executive officers. These severance agreements, among other things, provide for payments to each executive upon a change in control and termination of employment in certain circumstances. We believe that reasonable severance benefits are appropriate to protect executives against circumstances over which they have no control and as consideration for restrictive covenants and to facilitate clawback rights. A change in control, by itself (“single trigger”), does not trigger any severance provision applicable to our executive officers under the severance agreements. Equity awards granted to our executive officers do not provide for single trigger vesting acceleration but rather require a termination event within a certain period of time following a change in control to accelerate vesting of such equity awards.</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Talent and Compensation Committee believes such terms are standard for a financial institution in the markets in which we operate. See Potential Payouts Upon Termination or Change of Control for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Clawback Policy</w:t>
      </w:r>
    </w:p>
    <w:p>
      <w:pPr>
        <w:spacing w:after="0" w:line="22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Board has adopted a policy that allows the Board to require the clawback of performance-based incentive compensation paid or awarded to an executive officer in the case of a material financial restatement of our consolidated financial statements resulting from fraud or intentional misconduct on the part of the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Stock Ownership Guidelines</w:t>
      </w:r>
    </w:p>
    <w:p>
      <w:pPr>
        <w:spacing w:after="0" w:line="22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To directly align the interests of executive officers with the interests of our shareholders, our Board adopted a policy with guidance for each executive officer to acquire and maintain the following minimum ownership of United common stock within five years of becoming an executive officer: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40" w:type="dxa"/>
            <w:vAlign w:val="bottom"/>
            <w:tcBorders>
              <w:bottom w:val="single" w:sz="8" w:color="1077A9"/>
              <w:right w:val="single" w:sz="8" w:color="E5E6E6"/>
            </w:tcBorders>
            <w:shd w:val="clear" w:color="auto" w:fill="1077A9"/>
          </w:tcPr>
          <w:p>
            <w:pPr>
              <w:ind w:left="100"/>
              <w:spacing w:after="0"/>
              <w:rPr>
                <w:sz w:val="20"/>
                <w:szCs w:val="20"/>
                <w:color w:val="auto"/>
              </w:rPr>
            </w:pPr>
            <w:r>
              <w:rPr>
                <w:rFonts w:ascii="Arial" w:cs="Arial" w:eastAsia="Arial" w:hAnsi="Arial"/>
                <w:sz w:val="14"/>
                <w:szCs w:val="14"/>
                <w:color w:val="FFFFFF"/>
              </w:rPr>
              <w:t>Executive</w:t>
            </w:r>
          </w:p>
        </w:tc>
        <w:tc>
          <w:tcPr>
            <w:tcW w:w="5600" w:type="dxa"/>
            <w:vAlign w:val="bottom"/>
            <w:tcBorders>
              <w:bottom w:val="single" w:sz="8" w:color="1077A9"/>
            </w:tcBorders>
            <w:shd w:val="clear" w:color="auto" w:fill="1077A9"/>
          </w:tcPr>
          <w:p>
            <w:pPr>
              <w:ind w:left="80"/>
              <w:spacing w:after="0"/>
              <w:rPr>
                <w:sz w:val="20"/>
                <w:szCs w:val="20"/>
                <w:color w:val="auto"/>
              </w:rPr>
            </w:pPr>
            <w:r>
              <w:rPr>
                <w:rFonts w:ascii="Arial" w:cs="Arial" w:eastAsia="Arial" w:hAnsi="Arial"/>
                <w:sz w:val="14"/>
                <w:szCs w:val="14"/>
                <w:color w:val="FFFFFF"/>
              </w:rPr>
              <w:t>Minimum Ownership Guidelines</w:t>
            </w:r>
          </w:p>
        </w:tc>
      </w:tr>
      <w:tr>
        <w:trPr>
          <w:trHeight w:val="162"/>
        </w:trPr>
        <w:tc>
          <w:tcPr>
            <w:tcW w:w="5640" w:type="dxa"/>
            <w:vAlign w:val="bottom"/>
            <w:tcBorders>
              <w:right w:val="single" w:sz="8" w:color="E5E6E6"/>
            </w:tcBorders>
          </w:tcPr>
          <w:p>
            <w:pPr>
              <w:ind w:left="100"/>
              <w:spacing w:after="0"/>
              <w:rPr>
                <w:sz w:val="20"/>
                <w:szCs w:val="20"/>
                <w:color w:val="auto"/>
              </w:rPr>
            </w:pPr>
            <w:r>
              <w:rPr>
                <w:rFonts w:ascii="Arial" w:cs="Arial" w:eastAsia="Arial" w:hAnsi="Arial"/>
                <w:sz w:val="14"/>
                <w:szCs w:val="14"/>
                <w:color w:val="auto"/>
              </w:rPr>
              <w:t>Chief Executive Officer</w:t>
            </w:r>
          </w:p>
        </w:tc>
        <w:tc>
          <w:tcPr>
            <w:tcW w:w="5600" w:type="dxa"/>
            <w:vAlign w:val="bottom"/>
          </w:tcPr>
          <w:p>
            <w:pPr>
              <w:ind w:left="80"/>
              <w:spacing w:after="0"/>
              <w:rPr>
                <w:sz w:val="20"/>
                <w:szCs w:val="20"/>
                <w:color w:val="auto"/>
              </w:rPr>
            </w:pPr>
            <w:r>
              <w:rPr>
                <w:rFonts w:ascii="Arial" w:cs="Arial" w:eastAsia="Arial" w:hAnsi="Arial"/>
                <w:sz w:val="14"/>
                <w:szCs w:val="14"/>
                <w:color w:val="auto"/>
              </w:rPr>
              <w:t>Own Company stock with a value of at least 3 times his base annual salary</w:t>
            </w:r>
          </w:p>
        </w:tc>
      </w:tr>
      <w:tr>
        <w:trPr>
          <w:trHeight w:val="162"/>
        </w:trPr>
        <w:tc>
          <w:tcPr>
            <w:tcW w:w="564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Executive Officers (other than CEO)</w:t>
            </w:r>
          </w:p>
        </w:tc>
        <w:tc>
          <w:tcPr>
            <w:tcW w:w="5600" w:type="dxa"/>
            <w:vAlign w:val="bottom"/>
            <w:shd w:val="clear" w:color="auto" w:fill="E5E6E6"/>
          </w:tcPr>
          <w:p>
            <w:pPr>
              <w:ind w:left="80"/>
              <w:spacing w:after="0"/>
              <w:rPr>
                <w:sz w:val="20"/>
                <w:szCs w:val="20"/>
                <w:color w:val="auto"/>
              </w:rPr>
            </w:pPr>
            <w:r>
              <w:rPr>
                <w:rFonts w:ascii="Arial" w:cs="Arial" w:eastAsia="Arial" w:hAnsi="Arial"/>
                <w:sz w:val="14"/>
                <w:szCs w:val="14"/>
                <w:color w:val="auto"/>
              </w:rPr>
              <w:t>Own Company stock with a value of at least 2 times his or her base annual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-102235</wp:posOffset>
            </wp:positionV>
            <wp:extent cx="17145" cy="1028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145" cy="10287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All of the NEOs and other executive officers have met or are on track to meet these targets within the five-year-period.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i w:val="1"/>
          <w:iCs w:val="1"/>
          <w:color w:val="1077A9"/>
        </w:rPr>
        <w:t>Deductibility of 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Section 162(m) of the Internal Revenue Code of 1986, as amended (the “Code”) limits the U.S. federal income tax deduction for</w:t>
      </w:r>
    </w:p>
    <w:p>
      <w:pPr>
        <w:spacing w:after="0" w:line="234" w:lineRule="auto"/>
        <w:rPr>
          <w:sz w:val="20"/>
          <w:szCs w:val="20"/>
          <w:color w:val="auto"/>
        </w:rPr>
      </w:pPr>
      <w:r>
        <w:rPr>
          <w:rFonts w:ascii="Arial" w:cs="Arial" w:eastAsia="Arial" w:hAnsi="Arial"/>
          <w:sz w:val="18"/>
          <w:szCs w:val="18"/>
          <w:color w:val="auto"/>
        </w:rPr>
        <w:t>compensation paid to our Chief Executive Officer, Chief Financial Officer and certain other highly compensated executive officers (including,</w:t>
      </w:r>
    </w:p>
    <w:p>
      <w:pPr>
        <w:spacing w:after="0" w:line="235" w:lineRule="auto"/>
        <w:rPr>
          <w:sz w:val="20"/>
          <w:szCs w:val="20"/>
          <w:color w:val="auto"/>
        </w:rPr>
      </w:pPr>
      <w:r>
        <w:rPr>
          <w:rFonts w:ascii="Arial" w:cs="Arial" w:eastAsia="Arial" w:hAnsi="Arial"/>
          <w:sz w:val="18"/>
          <w:szCs w:val="18"/>
          <w:color w:val="auto"/>
        </w:rPr>
        <w:t>among others, our next three other most highly compensated executive officers as of the end of the calendar year) to a maximum U.S.</w:t>
      </w:r>
    </w:p>
    <w:p>
      <w:pPr>
        <w:spacing w:after="0" w:line="235" w:lineRule="auto"/>
        <w:rPr>
          <w:sz w:val="20"/>
          <w:szCs w:val="20"/>
          <w:color w:val="auto"/>
        </w:rPr>
      </w:pPr>
      <w:r>
        <w:rPr>
          <w:rFonts w:ascii="Arial" w:cs="Arial" w:eastAsia="Arial" w:hAnsi="Arial"/>
          <w:sz w:val="18"/>
          <w:szCs w:val="18"/>
          <w:color w:val="auto"/>
        </w:rPr>
        <w:t>federal income tax deduction that we may receive for annual compensation paid to any officer covered by Code Section 162(m) to</w:t>
      </w:r>
    </w:p>
    <w:p>
      <w:pPr>
        <w:spacing w:after="0" w:line="235" w:lineRule="auto"/>
        <w:rPr>
          <w:sz w:val="20"/>
          <w:szCs w:val="20"/>
          <w:color w:val="auto"/>
        </w:rPr>
      </w:pPr>
      <w:r>
        <w:rPr>
          <w:rFonts w:ascii="Arial" w:cs="Arial" w:eastAsia="Arial" w:hAnsi="Arial"/>
          <w:sz w:val="18"/>
          <w:szCs w:val="18"/>
          <w:color w:val="auto"/>
        </w:rPr>
        <w:t>$1,000,000 per officer. To the extent that the aggregate amount of any covered officer’s salary, bonus, amounts realized from option</w:t>
      </w:r>
    </w:p>
    <w:p>
      <w:pPr>
        <w:spacing w:after="0" w:line="235" w:lineRule="auto"/>
        <w:rPr>
          <w:sz w:val="20"/>
          <w:szCs w:val="20"/>
          <w:color w:val="auto"/>
        </w:rPr>
      </w:pPr>
      <w:r>
        <w:rPr>
          <w:rFonts w:ascii="Arial" w:cs="Arial" w:eastAsia="Arial" w:hAnsi="Arial"/>
          <w:sz w:val="18"/>
          <w:szCs w:val="18"/>
          <w:color w:val="auto"/>
        </w:rPr>
        <w:t>exercises and vesting of restricted stock units or other equity awards and certain other compensation amounts that are recognized as taxable</w:t>
      </w:r>
    </w:p>
    <w:p>
      <w:pPr>
        <w:spacing w:after="0" w:line="234" w:lineRule="auto"/>
        <w:rPr>
          <w:sz w:val="20"/>
          <w:szCs w:val="20"/>
          <w:color w:val="auto"/>
        </w:rPr>
      </w:pPr>
      <w:r>
        <w:rPr>
          <w:rFonts w:ascii="Arial" w:cs="Arial" w:eastAsia="Arial" w:hAnsi="Arial"/>
          <w:sz w:val="18"/>
          <w:szCs w:val="18"/>
          <w:color w:val="auto"/>
        </w:rPr>
        <w:t>income by the officer exceeds $1,000,000 in any year, we are not entitled to a U.S. federal income tax deduction for the amount over</w:t>
      </w:r>
    </w:p>
    <w:p>
      <w:pPr>
        <w:spacing w:after="0" w:line="235" w:lineRule="auto"/>
        <w:rPr>
          <w:sz w:val="20"/>
          <w:szCs w:val="20"/>
          <w:color w:val="auto"/>
        </w:rPr>
      </w:pPr>
      <w:r>
        <w:rPr>
          <w:rFonts w:ascii="Arial" w:cs="Arial" w:eastAsia="Arial" w:hAnsi="Arial"/>
          <w:sz w:val="18"/>
          <w:szCs w:val="18"/>
          <w:color w:val="auto"/>
        </w:rPr>
        <w:t>$1,000,000 in that year. Although the Talent and Compensation Committee has not adopted a formal policy regarding tax deductibility of</w:t>
      </w:r>
    </w:p>
    <w:p>
      <w:pPr>
        <w:spacing w:after="0" w:line="235" w:lineRule="auto"/>
        <w:rPr>
          <w:sz w:val="20"/>
          <w:szCs w:val="20"/>
          <w:color w:val="auto"/>
        </w:rPr>
      </w:pPr>
      <w:r>
        <w:rPr>
          <w:rFonts w:ascii="Arial" w:cs="Arial" w:eastAsia="Arial" w:hAnsi="Arial"/>
          <w:sz w:val="18"/>
          <w:szCs w:val="18"/>
          <w:color w:val="auto"/>
        </w:rPr>
        <w:t>compensation paid to our executive officers, it continues to view the tax deductibility of executive compensation as one of many factors to be</w:t>
      </w:r>
    </w:p>
    <w:p>
      <w:pPr>
        <w:spacing w:after="0" w:line="235" w:lineRule="auto"/>
        <w:rPr>
          <w:sz w:val="20"/>
          <w:szCs w:val="20"/>
          <w:color w:val="auto"/>
        </w:rPr>
      </w:pPr>
      <w:r>
        <w:rPr>
          <w:rFonts w:ascii="Arial" w:cs="Arial" w:eastAsia="Arial" w:hAnsi="Arial"/>
          <w:sz w:val="18"/>
          <w:szCs w:val="18"/>
          <w:color w:val="auto"/>
        </w:rPr>
        <w:t>considered in the context of its overall compensation philosophy. Accordingly, the Talent and Compensation Committee reserves the right to</w:t>
      </w:r>
    </w:p>
    <w:p>
      <w:pPr>
        <w:spacing w:after="0"/>
        <w:rPr>
          <w:sz w:val="20"/>
          <w:szCs w:val="20"/>
          <w:color w:val="auto"/>
        </w:rPr>
      </w:pPr>
      <w:r>
        <w:rPr>
          <w:rFonts w:ascii="Arial" w:cs="Arial" w:eastAsia="Arial" w:hAnsi="Arial"/>
          <w:sz w:val="18"/>
          <w:szCs w:val="18"/>
          <w:color w:val="auto"/>
        </w:rPr>
        <w:t>approve compensation that may not be deductible in situations it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077A9"/>
        </w:rPr>
        <w:t>Talent and Compensation Committee Report</w:t>
      </w:r>
    </w:p>
    <w:p>
      <w:pPr>
        <w:spacing w:after="0" w:line="22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Talent and Compensation Committee has reviewed and discussed with management the Compensation Discussion and Analysis (“CD&amp;A”) required by Item 402(b) of Regulation S-K and, based on this review and discussion, the Talent and Compensation Committee has recommended to the Board that the CD&amp;A be included in this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This report has been furnished by the Talent and Compensation Committee of the Board of Directors:</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Jennifer K. Mann, Chair</w:t>
      </w:r>
    </w:p>
    <w:p>
      <w:pPr>
        <w:ind w:left="5620"/>
        <w:spacing w:after="0" w:line="234" w:lineRule="auto"/>
        <w:rPr>
          <w:sz w:val="20"/>
          <w:szCs w:val="20"/>
          <w:color w:val="auto"/>
        </w:rPr>
      </w:pPr>
      <w:r>
        <w:rPr>
          <w:rFonts w:ascii="Arial" w:cs="Arial" w:eastAsia="Arial" w:hAnsi="Arial"/>
          <w:sz w:val="18"/>
          <w:szCs w:val="18"/>
          <w:color w:val="auto"/>
        </w:rPr>
        <w:t>Kenneth L. Daniels</w:t>
      </w:r>
    </w:p>
    <w:p>
      <w:pPr>
        <w:ind w:left="5620"/>
        <w:spacing w:after="0" w:line="235" w:lineRule="auto"/>
        <w:rPr>
          <w:sz w:val="20"/>
          <w:szCs w:val="20"/>
          <w:color w:val="auto"/>
        </w:rPr>
      </w:pPr>
      <w:r>
        <w:rPr>
          <w:rFonts w:ascii="Arial" w:cs="Arial" w:eastAsia="Arial" w:hAnsi="Arial"/>
          <w:sz w:val="18"/>
          <w:szCs w:val="18"/>
          <w:color w:val="auto"/>
        </w:rPr>
        <w:t>Lance F. Drummond</w:t>
      </w:r>
    </w:p>
    <w:p>
      <w:pPr>
        <w:ind w:left="5620"/>
        <w:spacing w:after="0" w:line="235" w:lineRule="auto"/>
        <w:rPr>
          <w:sz w:val="20"/>
          <w:szCs w:val="20"/>
          <w:color w:val="auto"/>
        </w:rPr>
      </w:pPr>
      <w:r>
        <w:rPr>
          <w:rFonts w:ascii="Arial" w:cs="Arial" w:eastAsia="Arial" w:hAnsi="Arial"/>
          <w:sz w:val="18"/>
          <w:szCs w:val="18"/>
          <w:color w:val="auto"/>
        </w:rPr>
        <w:t>David C. Shaver</w:t>
      </w:r>
    </w:p>
    <w:p>
      <w:pPr>
        <w:ind w:left="5620"/>
        <w:spacing w:after="0"/>
        <w:rPr>
          <w:sz w:val="20"/>
          <w:szCs w:val="20"/>
          <w:color w:val="auto"/>
        </w:rPr>
      </w:pPr>
      <w:r>
        <w:rPr>
          <w:rFonts w:ascii="Arial" w:cs="Arial" w:eastAsia="Arial" w:hAnsi="Arial"/>
          <w:sz w:val="18"/>
          <w:szCs w:val="18"/>
          <w:color w:val="auto"/>
        </w:rPr>
        <w:t>Tim R. Wallis</w:t>
      </w:r>
    </w:p>
    <w:p>
      <w:pPr>
        <w:spacing w:after="0" w:line="190"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i w:val="1"/>
          <w:iCs w:val="1"/>
          <w:color w:val="auto"/>
        </w:rPr>
        <w:t>The above Talent and Compensation Committee Report does not constitute soliciting material and should not be deemed filed or incorporated by reference into any other United filing under the Securities Act of 1933 or the Securities Exchange Act of 1934, except to the extent United specifically incorporates this report by reference therein.</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5" w:name="page46"/>
    <w:bookmarkEnd w:id="45"/>
    <w:p>
      <w:pPr>
        <w:spacing w:after="0"/>
        <w:rPr>
          <w:sz w:val="20"/>
          <w:szCs w:val="20"/>
          <w:color w:val="auto"/>
        </w:rPr>
      </w:pPr>
      <w:r>
        <w:rPr>
          <w:rFonts w:ascii="Arial" w:cs="Arial" w:eastAsia="Arial" w:hAnsi="Arial"/>
          <w:sz w:val="27"/>
          <w:szCs w:val="27"/>
          <w:b w:val="1"/>
          <w:bCs w:val="1"/>
          <w:color w:val="1077A9"/>
        </w:rPr>
        <w:t>Summary Compensation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compensation paid to our NEOs during the past three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80" w:type="dxa"/>
            <w:vAlign w:val="bottom"/>
            <w:tcBorders>
              <w:right w:val="single" w:sz="8" w:color="E5E6E6"/>
            </w:tcBorders>
            <w:shd w:val="clear" w:color="auto" w:fill="1077A9"/>
          </w:tcPr>
          <w:p>
            <w:pPr>
              <w:spacing w:after="0"/>
              <w:rPr>
                <w:sz w:val="19"/>
                <w:szCs w:val="19"/>
                <w:color w:val="auto"/>
              </w:rPr>
            </w:pPr>
          </w:p>
        </w:tc>
        <w:tc>
          <w:tcPr>
            <w:tcW w:w="480" w:type="dxa"/>
            <w:vAlign w:val="bottom"/>
            <w:tcBorders>
              <w:right w:val="single" w:sz="8" w:color="E5E6E6"/>
            </w:tcBorders>
            <w:shd w:val="clear" w:color="auto" w:fill="1077A9"/>
          </w:tcPr>
          <w:p>
            <w:pPr>
              <w:spacing w:after="0"/>
              <w:rPr>
                <w:sz w:val="19"/>
                <w:szCs w:val="19"/>
                <w:color w:val="auto"/>
              </w:rPr>
            </w:pPr>
          </w:p>
        </w:tc>
        <w:tc>
          <w:tcPr>
            <w:tcW w:w="980" w:type="dxa"/>
            <w:vAlign w:val="bottom"/>
            <w:tcBorders>
              <w:right w:val="single" w:sz="8" w:color="E5E6E6"/>
            </w:tcBorders>
            <w:shd w:val="clear" w:color="auto" w:fill="1077A9"/>
          </w:tcPr>
          <w:p>
            <w:pPr>
              <w:spacing w:after="0"/>
              <w:rPr>
                <w:sz w:val="19"/>
                <w:szCs w:val="19"/>
                <w:color w:val="auto"/>
              </w:rPr>
            </w:pPr>
          </w:p>
        </w:tc>
        <w:tc>
          <w:tcPr>
            <w:tcW w:w="900" w:type="dxa"/>
            <w:vAlign w:val="bottom"/>
            <w:tcBorders>
              <w:right w:val="single" w:sz="8" w:color="E5E6E6"/>
            </w:tcBorders>
            <w:shd w:val="clear" w:color="auto" w:fill="1077A9"/>
          </w:tcPr>
          <w:p>
            <w:pPr>
              <w:spacing w:after="0"/>
              <w:rPr>
                <w:sz w:val="19"/>
                <w:szCs w:val="19"/>
                <w:color w:val="auto"/>
              </w:rPr>
            </w:pPr>
          </w:p>
        </w:tc>
        <w:tc>
          <w:tcPr>
            <w:tcW w:w="1100" w:type="dxa"/>
            <w:vAlign w:val="bottom"/>
            <w:tcBorders>
              <w:right w:val="single" w:sz="8" w:color="E5E6E6"/>
            </w:tcBorders>
            <w:shd w:val="clear" w:color="auto" w:fill="1077A9"/>
          </w:tcPr>
          <w:p>
            <w:pPr>
              <w:spacing w:after="0"/>
              <w:rPr>
                <w:sz w:val="19"/>
                <w:szCs w:val="19"/>
                <w:color w:val="auto"/>
              </w:rPr>
            </w:pPr>
          </w:p>
        </w:tc>
        <w:tc>
          <w:tcPr>
            <w:tcW w:w="1140" w:type="dxa"/>
            <w:vAlign w:val="bottom"/>
            <w:tcBorders>
              <w:right w:val="single" w:sz="8" w:color="E5E6E6"/>
            </w:tcBorders>
            <w:shd w:val="clear" w:color="auto" w:fill="1077A9"/>
          </w:tcPr>
          <w:p>
            <w:pPr>
              <w:spacing w:after="0"/>
              <w:rPr>
                <w:sz w:val="19"/>
                <w:szCs w:val="19"/>
                <w:color w:val="auto"/>
              </w:rPr>
            </w:pPr>
          </w:p>
        </w:tc>
        <w:tc>
          <w:tcPr>
            <w:tcW w:w="1080" w:type="dxa"/>
            <w:vAlign w:val="bottom"/>
            <w:tcBorders>
              <w:right w:val="single" w:sz="8" w:color="E5E6E6"/>
            </w:tcBorders>
            <w:shd w:val="clear" w:color="auto" w:fill="1077A9"/>
          </w:tcPr>
          <w:p>
            <w:pPr>
              <w:jc w:val="center"/>
              <w:spacing w:after="0"/>
              <w:rPr>
                <w:sz w:val="20"/>
                <w:szCs w:val="20"/>
                <w:color w:val="auto"/>
              </w:rPr>
            </w:pPr>
            <w:r>
              <w:rPr>
                <w:rFonts w:ascii="Arial" w:cs="Arial" w:eastAsia="Arial" w:hAnsi="Arial"/>
                <w:sz w:val="14"/>
                <w:szCs w:val="14"/>
                <w:color w:val="FFFFFF"/>
              </w:rPr>
              <w:t>Change in</w:t>
            </w:r>
          </w:p>
        </w:tc>
        <w:tc>
          <w:tcPr>
            <w:tcW w:w="1160" w:type="dxa"/>
            <w:vAlign w:val="bottom"/>
            <w:tcBorders>
              <w:right w:val="single" w:sz="8" w:color="E5E6E6"/>
            </w:tcBorders>
            <w:shd w:val="clear" w:color="auto" w:fill="1077A9"/>
          </w:tcPr>
          <w:p>
            <w:pPr>
              <w:spacing w:after="0"/>
              <w:rPr>
                <w:sz w:val="19"/>
                <w:szCs w:val="19"/>
                <w:color w:val="auto"/>
              </w:rPr>
            </w:pPr>
          </w:p>
        </w:tc>
        <w:tc>
          <w:tcPr>
            <w:tcW w:w="1120" w:type="dxa"/>
            <w:vAlign w:val="bottom"/>
            <w:shd w:val="clear" w:color="auto" w:fill="1077A9"/>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280" w:type="dxa"/>
            <w:vAlign w:val="bottom"/>
            <w:tcBorders>
              <w:right w:val="single" w:sz="8" w:color="E5E6E6"/>
            </w:tcBorders>
            <w:shd w:val="clear" w:color="auto" w:fill="1077A9"/>
          </w:tcPr>
          <w:p>
            <w:pPr>
              <w:spacing w:after="0"/>
              <w:rPr>
                <w:sz w:val="14"/>
                <w:szCs w:val="14"/>
                <w:color w:val="auto"/>
              </w:rPr>
            </w:pPr>
          </w:p>
        </w:tc>
        <w:tc>
          <w:tcPr>
            <w:tcW w:w="480" w:type="dxa"/>
            <w:vAlign w:val="bottom"/>
            <w:tcBorders>
              <w:right w:val="single" w:sz="8" w:color="E5E6E6"/>
            </w:tcBorders>
            <w:shd w:val="clear" w:color="auto" w:fill="1077A9"/>
          </w:tcPr>
          <w:p>
            <w:pPr>
              <w:spacing w:after="0"/>
              <w:rPr>
                <w:sz w:val="14"/>
                <w:szCs w:val="14"/>
                <w:color w:val="auto"/>
              </w:rPr>
            </w:pPr>
          </w:p>
        </w:tc>
        <w:tc>
          <w:tcPr>
            <w:tcW w:w="980" w:type="dxa"/>
            <w:vAlign w:val="bottom"/>
            <w:tcBorders>
              <w:right w:val="single" w:sz="8" w:color="E5E6E6"/>
            </w:tcBorders>
            <w:shd w:val="clear" w:color="auto" w:fill="1077A9"/>
          </w:tcPr>
          <w:p>
            <w:pPr>
              <w:spacing w:after="0"/>
              <w:rPr>
                <w:sz w:val="14"/>
                <w:szCs w:val="14"/>
                <w:color w:val="auto"/>
              </w:rPr>
            </w:pPr>
          </w:p>
        </w:tc>
        <w:tc>
          <w:tcPr>
            <w:tcW w:w="900" w:type="dxa"/>
            <w:vAlign w:val="bottom"/>
            <w:tcBorders>
              <w:right w:val="single" w:sz="8" w:color="E5E6E6"/>
            </w:tcBorders>
            <w:shd w:val="clear" w:color="auto" w:fill="1077A9"/>
          </w:tcPr>
          <w:p>
            <w:pPr>
              <w:spacing w:after="0"/>
              <w:rPr>
                <w:sz w:val="14"/>
                <w:szCs w:val="14"/>
                <w:color w:val="auto"/>
              </w:rPr>
            </w:pPr>
          </w:p>
        </w:tc>
        <w:tc>
          <w:tcPr>
            <w:tcW w:w="1100" w:type="dxa"/>
            <w:vAlign w:val="bottom"/>
            <w:tcBorders>
              <w:right w:val="single" w:sz="8" w:color="E5E6E6"/>
            </w:tcBorders>
            <w:shd w:val="clear" w:color="auto" w:fill="1077A9"/>
          </w:tcPr>
          <w:p>
            <w:pPr>
              <w:spacing w:after="0"/>
              <w:rPr>
                <w:sz w:val="14"/>
                <w:szCs w:val="14"/>
                <w:color w:val="auto"/>
              </w:rPr>
            </w:pPr>
          </w:p>
        </w:tc>
        <w:tc>
          <w:tcPr>
            <w:tcW w:w="1140" w:type="dxa"/>
            <w:vAlign w:val="bottom"/>
            <w:tcBorders>
              <w:right w:val="single" w:sz="8" w:color="E5E6E6"/>
            </w:tcBorders>
            <w:vMerge w:val="restart"/>
            <w:shd w:val="clear" w:color="auto" w:fill="1077A9"/>
          </w:tcPr>
          <w:p>
            <w:pPr>
              <w:ind w:left="200"/>
              <w:spacing w:after="0"/>
              <w:rPr>
                <w:sz w:val="20"/>
                <w:szCs w:val="20"/>
                <w:color w:val="auto"/>
              </w:rPr>
            </w:pPr>
            <w:r>
              <w:rPr>
                <w:rFonts w:ascii="Arial" w:cs="Arial" w:eastAsia="Arial" w:hAnsi="Arial"/>
                <w:sz w:val="14"/>
                <w:szCs w:val="14"/>
                <w:color w:val="FFFFFF"/>
              </w:rPr>
              <w:t>Non-Equity</w:t>
            </w:r>
          </w:p>
        </w:tc>
        <w:tc>
          <w:tcPr>
            <w:tcW w:w="1080" w:type="dxa"/>
            <w:vAlign w:val="bottom"/>
            <w:tcBorders>
              <w:right w:val="single" w:sz="8" w:color="E5E6E6"/>
            </w:tcBorders>
            <w:shd w:val="clear" w:color="auto" w:fill="1077A9"/>
          </w:tcPr>
          <w:p>
            <w:pPr>
              <w:jc w:val="center"/>
              <w:spacing w:after="0"/>
              <w:rPr>
                <w:sz w:val="20"/>
                <w:szCs w:val="20"/>
                <w:color w:val="auto"/>
              </w:rPr>
            </w:pPr>
            <w:r>
              <w:rPr>
                <w:rFonts w:ascii="Arial" w:cs="Arial" w:eastAsia="Arial" w:hAnsi="Arial"/>
                <w:sz w:val="14"/>
                <w:szCs w:val="14"/>
                <w:color w:val="FFFFFF"/>
              </w:rPr>
              <w:t>Pension Value</w:t>
            </w:r>
          </w:p>
        </w:tc>
        <w:tc>
          <w:tcPr>
            <w:tcW w:w="1160" w:type="dxa"/>
            <w:vAlign w:val="bottom"/>
            <w:tcBorders>
              <w:right w:val="single" w:sz="8" w:color="E5E6E6"/>
            </w:tcBorders>
            <w:shd w:val="clear" w:color="auto" w:fill="1077A9"/>
          </w:tcPr>
          <w:p>
            <w:pPr>
              <w:spacing w:after="0"/>
              <w:rPr>
                <w:sz w:val="14"/>
                <w:szCs w:val="14"/>
                <w:color w:val="auto"/>
              </w:rPr>
            </w:pPr>
          </w:p>
        </w:tc>
        <w:tc>
          <w:tcPr>
            <w:tcW w:w="1120" w:type="dxa"/>
            <w:vAlign w:val="bottom"/>
            <w:shd w:val="clear" w:color="auto" w:fill="1077A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280" w:type="dxa"/>
            <w:vAlign w:val="bottom"/>
            <w:tcBorders>
              <w:right w:val="single" w:sz="8" w:color="E5E6E6"/>
            </w:tcBorders>
            <w:shd w:val="clear" w:color="auto" w:fill="1077A9"/>
          </w:tcPr>
          <w:p>
            <w:pPr>
              <w:spacing w:after="0"/>
              <w:rPr>
                <w:sz w:val="7"/>
                <w:szCs w:val="7"/>
                <w:color w:val="auto"/>
              </w:rPr>
            </w:pPr>
          </w:p>
        </w:tc>
        <w:tc>
          <w:tcPr>
            <w:tcW w:w="480" w:type="dxa"/>
            <w:vAlign w:val="bottom"/>
            <w:tcBorders>
              <w:right w:val="single" w:sz="8" w:color="E5E6E6"/>
            </w:tcBorders>
            <w:shd w:val="clear" w:color="auto" w:fill="1077A9"/>
          </w:tcPr>
          <w:p>
            <w:pPr>
              <w:spacing w:after="0"/>
              <w:rPr>
                <w:sz w:val="7"/>
                <w:szCs w:val="7"/>
                <w:color w:val="auto"/>
              </w:rPr>
            </w:pPr>
          </w:p>
        </w:tc>
        <w:tc>
          <w:tcPr>
            <w:tcW w:w="980" w:type="dxa"/>
            <w:vAlign w:val="bottom"/>
            <w:tcBorders>
              <w:right w:val="single" w:sz="8" w:color="E5E6E6"/>
            </w:tcBorders>
            <w:shd w:val="clear" w:color="auto" w:fill="1077A9"/>
          </w:tcPr>
          <w:p>
            <w:pPr>
              <w:spacing w:after="0"/>
              <w:rPr>
                <w:sz w:val="7"/>
                <w:szCs w:val="7"/>
                <w:color w:val="auto"/>
              </w:rPr>
            </w:pPr>
          </w:p>
        </w:tc>
        <w:tc>
          <w:tcPr>
            <w:tcW w:w="900" w:type="dxa"/>
            <w:vAlign w:val="bottom"/>
            <w:tcBorders>
              <w:right w:val="single" w:sz="8" w:color="E5E6E6"/>
            </w:tcBorders>
            <w:shd w:val="clear" w:color="auto" w:fill="1077A9"/>
          </w:tcPr>
          <w:p>
            <w:pPr>
              <w:spacing w:after="0"/>
              <w:rPr>
                <w:sz w:val="7"/>
                <w:szCs w:val="7"/>
                <w:color w:val="auto"/>
              </w:rPr>
            </w:pPr>
          </w:p>
        </w:tc>
        <w:tc>
          <w:tcPr>
            <w:tcW w:w="1100" w:type="dxa"/>
            <w:vAlign w:val="bottom"/>
            <w:tcBorders>
              <w:right w:val="single" w:sz="8" w:color="E5E6E6"/>
            </w:tcBorders>
            <w:shd w:val="clear" w:color="auto" w:fill="1077A9"/>
          </w:tcPr>
          <w:p>
            <w:pPr>
              <w:spacing w:after="0"/>
              <w:rPr>
                <w:sz w:val="7"/>
                <w:szCs w:val="7"/>
                <w:color w:val="auto"/>
              </w:rPr>
            </w:pPr>
          </w:p>
        </w:tc>
        <w:tc>
          <w:tcPr>
            <w:tcW w:w="1140" w:type="dxa"/>
            <w:vAlign w:val="bottom"/>
            <w:tcBorders>
              <w:right w:val="single" w:sz="8" w:color="E5E6E6"/>
            </w:tcBorders>
            <w:vMerge w:val="continue"/>
            <w:shd w:val="clear" w:color="auto" w:fill="1077A9"/>
          </w:tcPr>
          <w:p>
            <w:pPr>
              <w:spacing w:after="0"/>
              <w:rPr>
                <w:sz w:val="7"/>
                <w:szCs w:val="7"/>
                <w:color w:val="auto"/>
              </w:rPr>
            </w:pPr>
          </w:p>
        </w:tc>
        <w:tc>
          <w:tcPr>
            <w:tcW w:w="1080" w:type="dxa"/>
            <w:vAlign w:val="bottom"/>
            <w:tcBorders>
              <w:right w:val="single" w:sz="8" w:color="E5E6E6"/>
            </w:tcBorders>
            <w:vMerge w:val="restart"/>
            <w:shd w:val="clear" w:color="auto" w:fill="1077A9"/>
          </w:tcPr>
          <w:p>
            <w:pPr>
              <w:jc w:val="center"/>
              <w:spacing w:after="0"/>
              <w:rPr>
                <w:sz w:val="20"/>
                <w:szCs w:val="20"/>
                <w:color w:val="auto"/>
              </w:rPr>
            </w:pPr>
            <w:r>
              <w:rPr>
                <w:rFonts w:ascii="Arial" w:cs="Arial" w:eastAsia="Arial" w:hAnsi="Arial"/>
                <w:sz w:val="14"/>
                <w:szCs w:val="14"/>
                <w:color w:val="FFFFFF"/>
              </w:rPr>
              <w:t>and Non-</w:t>
            </w:r>
          </w:p>
        </w:tc>
        <w:tc>
          <w:tcPr>
            <w:tcW w:w="1160" w:type="dxa"/>
            <w:vAlign w:val="bottom"/>
            <w:tcBorders>
              <w:right w:val="single" w:sz="8" w:color="E5E6E6"/>
            </w:tcBorders>
            <w:vMerge w:val="restart"/>
            <w:shd w:val="clear" w:color="auto" w:fill="1077A9"/>
          </w:tcPr>
          <w:p>
            <w:pPr>
              <w:jc w:val="center"/>
              <w:spacing w:after="0"/>
              <w:rPr>
                <w:sz w:val="20"/>
                <w:szCs w:val="20"/>
                <w:color w:val="auto"/>
              </w:rPr>
            </w:pPr>
            <w:r>
              <w:rPr>
                <w:rFonts w:ascii="Arial" w:cs="Arial" w:eastAsia="Arial" w:hAnsi="Arial"/>
                <w:sz w:val="14"/>
                <w:szCs w:val="14"/>
                <w:color w:val="FFFFFF"/>
              </w:rPr>
              <w:t>All Other</w:t>
            </w:r>
          </w:p>
        </w:tc>
        <w:tc>
          <w:tcPr>
            <w:tcW w:w="1120" w:type="dxa"/>
            <w:vAlign w:val="bottom"/>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80" w:type="dxa"/>
            <w:vAlign w:val="bottom"/>
            <w:tcBorders>
              <w:right w:val="single" w:sz="8" w:color="E5E6E6"/>
            </w:tcBorders>
            <w:vMerge w:val="restart"/>
            <w:shd w:val="clear" w:color="auto" w:fill="1077A9"/>
          </w:tcPr>
          <w:p>
            <w:pPr>
              <w:ind w:left="100"/>
              <w:spacing w:after="0" w:line="143" w:lineRule="exact"/>
              <w:rPr>
                <w:sz w:val="20"/>
                <w:szCs w:val="20"/>
                <w:color w:val="auto"/>
              </w:rPr>
            </w:pPr>
            <w:r>
              <w:rPr>
                <w:rFonts w:ascii="Arial" w:cs="Arial" w:eastAsia="Arial" w:hAnsi="Arial"/>
                <w:sz w:val="14"/>
                <w:szCs w:val="14"/>
                <w:color w:val="FFFFFF"/>
              </w:rPr>
              <w:t>Name and Principal</w:t>
            </w:r>
          </w:p>
        </w:tc>
        <w:tc>
          <w:tcPr>
            <w:tcW w:w="480" w:type="dxa"/>
            <w:vAlign w:val="bottom"/>
            <w:tcBorders>
              <w:right w:val="single" w:sz="8" w:color="E5E6E6"/>
            </w:tcBorders>
            <w:shd w:val="clear" w:color="auto" w:fill="1077A9"/>
          </w:tcPr>
          <w:p>
            <w:pPr>
              <w:spacing w:after="0"/>
              <w:rPr>
                <w:sz w:val="7"/>
                <w:szCs w:val="7"/>
                <w:color w:val="auto"/>
              </w:rPr>
            </w:pPr>
          </w:p>
        </w:tc>
        <w:tc>
          <w:tcPr>
            <w:tcW w:w="980" w:type="dxa"/>
            <w:vAlign w:val="bottom"/>
            <w:tcBorders>
              <w:right w:val="single" w:sz="8" w:color="E5E6E6"/>
            </w:tcBorders>
            <w:vMerge w:val="restart"/>
            <w:shd w:val="clear" w:color="auto" w:fill="1077A9"/>
          </w:tcPr>
          <w:p>
            <w:pPr>
              <w:ind w:left="160"/>
              <w:spacing w:after="0" w:line="224" w:lineRule="exact"/>
              <w:rPr>
                <w:sz w:val="20"/>
                <w:szCs w:val="20"/>
                <w:color w:val="auto"/>
              </w:rPr>
            </w:pPr>
            <w:r>
              <w:rPr>
                <w:rFonts w:ascii="Arial" w:cs="Arial" w:eastAsia="Arial" w:hAnsi="Arial"/>
                <w:sz w:val="14"/>
                <w:szCs w:val="14"/>
                <w:color w:val="FFFFFF"/>
              </w:rPr>
              <w:t>Salary($)</w:t>
            </w:r>
            <w:r>
              <w:rPr>
                <w:rFonts w:ascii="Arial" w:cs="Arial" w:eastAsia="Arial" w:hAnsi="Arial"/>
                <w:sz w:val="23"/>
                <w:szCs w:val="23"/>
                <w:color w:val="FFFFFF"/>
                <w:vertAlign w:val="superscript"/>
              </w:rPr>
              <w:t>3</w:t>
            </w:r>
          </w:p>
        </w:tc>
        <w:tc>
          <w:tcPr>
            <w:tcW w:w="900" w:type="dxa"/>
            <w:vAlign w:val="bottom"/>
            <w:tcBorders>
              <w:right w:val="single" w:sz="8" w:color="E5E6E6"/>
            </w:tcBorders>
            <w:shd w:val="clear" w:color="auto" w:fill="1077A9"/>
          </w:tcPr>
          <w:p>
            <w:pPr>
              <w:spacing w:after="0"/>
              <w:rPr>
                <w:sz w:val="7"/>
                <w:szCs w:val="7"/>
                <w:color w:val="auto"/>
              </w:rPr>
            </w:pPr>
          </w:p>
        </w:tc>
        <w:tc>
          <w:tcPr>
            <w:tcW w:w="1100" w:type="dxa"/>
            <w:vAlign w:val="bottom"/>
            <w:tcBorders>
              <w:right w:val="single" w:sz="8" w:color="E5E6E6"/>
            </w:tcBorders>
            <w:vMerge w:val="restart"/>
            <w:shd w:val="clear" w:color="auto" w:fill="1077A9"/>
          </w:tcPr>
          <w:p>
            <w:pPr>
              <w:jc w:val="right"/>
              <w:ind w:right="309"/>
              <w:spacing w:after="0" w:line="143" w:lineRule="exact"/>
              <w:rPr>
                <w:sz w:val="20"/>
                <w:szCs w:val="20"/>
                <w:color w:val="auto"/>
              </w:rPr>
            </w:pPr>
            <w:r>
              <w:rPr>
                <w:rFonts w:ascii="Arial" w:cs="Arial" w:eastAsia="Arial" w:hAnsi="Arial"/>
                <w:sz w:val="14"/>
                <w:szCs w:val="14"/>
                <w:color w:val="FFFFFF"/>
              </w:rPr>
              <w:t>Stock</w:t>
            </w:r>
          </w:p>
        </w:tc>
        <w:tc>
          <w:tcPr>
            <w:tcW w:w="1140" w:type="dxa"/>
            <w:vAlign w:val="bottom"/>
            <w:tcBorders>
              <w:right w:val="single" w:sz="8" w:color="E5E6E6"/>
            </w:tcBorders>
            <w:vMerge w:val="restart"/>
            <w:shd w:val="clear" w:color="auto" w:fill="1077A9"/>
          </w:tcPr>
          <w:p>
            <w:pPr>
              <w:ind w:left="80"/>
              <w:spacing w:after="0" w:line="143" w:lineRule="exact"/>
              <w:rPr>
                <w:sz w:val="20"/>
                <w:szCs w:val="20"/>
                <w:color w:val="auto"/>
              </w:rPr>
            </w:pPr>
            <w:r>
              <w:rPr>
                <w:rFonts w:ascii="Arial" w:cs="Arial" w:eastAsia="Arial" w:hAnsi="Arial"/>
                <w:sz w:val="14"/>
                <w:szCs w:val="14"/>
                <w:color w:val="FFFFFF"/>
              </w:rPr>
              <w:t>Incentive Plan</w:t>
            </w:r>
          </w:p>
        </w:tc>
        <w:tc>
          <w:tcPr>
            <w:tcW w:w="1080" w:type="dxa"/>
            <w:vAlign w:val="bottom"/>
            <w:tcBorders>
              <w:right w:val="single" w:sz="8" w:color="E5E6E6"/>
            </w:tcBorders>
            <w:vMerge w:val="continue"/>
            <w:shd w:val="clear" w:color="auto" w:fill="1077A9"/>
          </w:tcPr>
          <w:p>
            <w:pPr>
              <w:spacing w:after="0"/>
              <w:rPr>
                <w:sz w:val="7"/>
                <w:szCs w:val="7"/>
                <w:color w:val="auto"/>
              </w:rPr>
            </w:pPr>
          </w:p>
        </w:tc>
        <w:tc>
          <w:tcPr>
            <w:tcW w:w="1160" w:type="dxa"/>
            <w:vAlign w:val="bottom"/>
            <w:tcBorders>
              <w:right w:val="single" w:sz="8" w:color="E5E6E6"/>
            </w:tcBorders>
            <w:vMerge w:val="continue"/>
            <w:shd w:val="clear" w:color="auto" w:fill="1077A9"/>
          </w:tcPr>
          <w:p>
            <w:pPr>
              <w:spacing w:after="0"/>
              <w:rPr>
                <w:sz w:val="7"/>
                <w:szCs w:val="7"/>
                <w:color w:val="auto"/>
              </w:rPr>
            </w:pPr>
          </w:p>
        </w:tc>
        <w:tc>
          <w:tcPr>
            <w:tcW w:w="1120" w:type="dxa"/>
            <w:vAlign w:val="bottom"/>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3280" w:type="dxa"/>
            <w:vAlign w:val="bottom"/>
            <w:tcBorders>
              <w:right w:val="single" w:sz="8" w:color="E5E6E6"/>
            </w:tcBorders>
            <w:vMerge w:val="continue"/>
            <w:shd w:val="clear" w:color="auto" w:fill="1077A9"/>
          </w:tcPr>
          <w:p>
            <w:pPr>
              <w:spacing w:after="0"/>
              <w:rPr>
                <w:sz w:val="5"/>
                <w:szCs w:val="5"/>
                <w:color w:val="auto"/>
              </w:rPr>
            </w:pPr>
          </w:p>
        </w:tc>
        <w:tc>
          <w:tcPr>
            <w:tcW w:w="480" w:type="dxa"/>
            <w:vAlign w:val="bottom"/>
            <w:tcBorders>
              <w:right w:val="single" w:sz="8" w:color="E5E6E6"/>
            </w:tcBorders>
            <w:vMerge w:val="restart"/>
            <w:shd w:val="clear" w:color="auto" w:fill="1077A9"/>
          </w:tcPr>
          <w:p>
            <w:pPr>
              <w:ind w:left="80"/>
              <w:spacing w:after="0" w:line="143" w:lineRule="exact"/>
              <w:rPr>
                <w:sz w:val="20"/>
                <w:szCs w:val="20"/>
                <w:color w:val="auto"/>
              </w:rPr>
            </w:pPr>
            <w:r>
              <w:rPr>
                <w:rFonts w:ascii="Arial" w:cs="Arial" w:eastAsia="Arial" w:hAnsi="Arial"/>
                <w:sz w:val="14"/>
                <w:szCs w:val="14"/>
                <w:color w:val="FFFFFF"/>
              </w:rPr>
              <w:t>Year</w:t>
            </w:r>
          </w:p>
        </w:tc>
        <w:tc>
          <w:tcPr>
            <w:tcW w:w="980" w:type="dxa"/>
            <w:vAlign w:val="bottom"/>
            <w:tcBorders>
              <w:right w:val="single" w:sz="8" w:color="E5E6E6"/>
            </w:tcBorders>
            <w:vMerge w:val="continue"/>
            <w:shd w:val="clear" w:color="auto" w:fill="1077A9"/>
          </w:tcPr>
          <w:p>
            <w:pPr>
              <w:spacing w:after="0"/>
              <w:rPr>
                <w:sz w:val="5"/>
                <w:szCs w:val="5"/>
                <w:color w:val="auto"/>
              </w:rPr>
            </w:pPr>
          </w:p>
        </w:tc>
        <w:tc>
          <w:tcPr>
            <w:tcW w:w="900" w:type="dxa"/>
            <w:vAlign w:val="bottom"/>
            <w:tcBorders>
              <w:right w:val="single" w:sz="8" w:color="E5E6E6"/>
            </w:tcBorders>
            <w:vMerge w:val="restart"/>
            <w:shd w:val="clear" w:color="auto" w:fill="1077A9"/>
          </w:tcPr>
          <w:p>
            <w:pPr>
              <w:ind w:left="140"/>
              <w:spacing w:after="0" w:line="143" w:lineRule="exact"/>
              <w:rPr>
                <w:sz w:val="20"/>
                <w:szCs w:val="20"/>
                <w:color w:val="auto"/>
              </w:rPr>
            </w:pPr>
            <w:r>
              <w:rPr>
                <w:rFonts w:ascii="Arial" w:cs="Arial" w:eastAsia="Arial" w:hAnsi="Arial"/>
                <w:sz w:val="14"/>
                <w:szCs w:val="14"/>
                <w:color w:val="FFFFFF"/>
              </w:rPr>
              <w:t>Bonus($)</w:t>
            </w:r>
          </w:p>
        </w:tc>
        <w:tc>
          <w:tcPr>
            <w:tcW w:w="1100" w:type="dxa"/>
            <w:vAlign w:val="bottom"/>
            <w:tcBorders>
              <w:right w:val="single" w:sz="8" w:color="E5E6E6"/>
            </w:tcBorders>
            <w:vMerge w:val="continue"/>
            <w:shd w:val="clear" w:color="auto" w:fill="1077A9"/>
          </w:tcPr>
          <w:p>
            <w:pPr>
              <w:spacing w:after="0"/>
              <w:rPr>
                <w:sz w:val="5"/>
                <w:szCs w:val="5"/>
                <w:color w:val="auto"/>
              </w:rPr>
            </w:pPr>
          </w:p>
        </w:tc>
        <w:tc>
          <w:tcPr>
            <w:tcW w:w="1140" w:type="dxa"/>
            <w:vAlign w:val="bottom"/>
            <w:tcBorders>
              <w:right w:val="single" w:sz="8" w:color="E5E6E6"/>
            </w:tcBorders>
            <w:vMerge w:val="continue"/>
            <w:shd w:val="clear" w:color="auto" w:fill="1077A9"/>
          </w:tcPr>
          <w:p>
            <w:pPr>
              <w:spacing w:after="0"/>
              <w:rPr>
                <w:sz w:val="5"/>
                <w:szCs w:val="5"/>
                <w:color w:val="auto"/>
              </w:rPr>
            </w:pPr>
          </w:p>
        </w:tc>
        <w:tc>
          <w:tcPr>
            <w:tcW w:w="1080" w:type="dxa"/>
            <w:vAlign w:val="bottom"/>
            <w:tcBorders>
              <w:right w:val="single" w:sz="8" w:color="E5E6E6"/>
            </w:tcBorders>
            <w:vMerge w:val="restart"/>
            <w:shd w:val="clear" w:color="auto" w:fill="1077A9"/>
          </w:tcPr>
          <w:p>
            <w:pPr>
              <w:jc w:val="center"/>
              <w:ind w:right="9"/>
              <w:spacing w:after="0" w:line="143" w:lineRule="exact"/>
              <w:rPr>
                <w:sz w:val="20"/>
                <w:szCs w:val="20"/>
                <w:color w:val="auto"/>
              </w:rPr>
            </w:pPr>
            <w:r>
              <w:rPr>
                <w:rFonts w:ascii="Arial" w:cs="Arial" w:eastAsia="Arial" w:hAnsi="Arial"/>
                <w:sz w:val="14"/>
                <w:szCs w:val="14"/>
                <w:color w:val="FFFFFF"/>
              </w:rPr>
              <w:t>Qualified</w:t>
            </w:r>
          </w:p>
        </w:tc>
        <w:tc>
          <w:tcPr>
            <w:tcW w:w="1160" w:type="dxa"/>
            <w:vAlign w:val="bottom"/>
            <w:tcBorders>
              <w:right w:val="single" w:sz="8" w:color="E5E6E6"/>
            </w:tcBorders>
            <w:vMerge w:val="restart"/>
            <w:shd w:val="clear" w:color="auto" w:fill="1077A9"/>
          </w:tcPr>
          <w:p>
            <w:pPr>
              <w:jc w:val="center"/>
              <w:spacing w:after="0" w:line="143" w:lineRule="exact"/>
              <w:rPr>
                <w:sz w:val="20"/>
                <w:szCs w:val="20"/>
                <w:color w:val="auto"/>
              </w:rPr>
            </w:pPr>
            <w:r>
              <w:rPr>
                <w:rFonts w:ascii="Arial" w:cs="Arial" w:eastAsia="Arial" w:hAnsi="Arial"/>
                <w:sz w:val="14"/>
                <w:szCs w:val="14"/>
                <w:color w:val="FFFFFF"/>
              </w:rPr>
              <w:t>Compensation</w:t>
            </w:r>
          </w:p>
        </w:tc>
        <w:tc>
          <w:tcPr>
            <w:tcW w:w="1120" w:type="dxa"/>
            <w:vAlign w:val="bottom"/>
            <w:vMerge w:val="restart"/>
            <w:shd w:val="clear" w:color="auto" w:fill="1077A9"/>
          </w:tcPr>
          <w:p>
            <w:pPr>
              <w:jc w:val="right"/>
              <w:ind w:right="228"/>
              <w:spacing w:after="0" w:line="143" w:lineRule="exact"/>
              <w:rPr>
                <w:sz w:val="20"/>
                <w:szCs w:val="20"/>
                <w:color w:val="auto"/>
              </w:rPr>
            </w:pPr>
            <w:r>
              <w:rPr>
                <w:rFonts w:ascii="Arial" w:cs="Arial" w:eastAsia="Arial" w:hAnsi="Arial"/>
                <w:sz w:val="14"/>
                <w:szCs w:val="14"/>
                <w:color w:val="FFFFFF"/>
              </w:rPr>
              <w:t>Total ($)</w:t>
            </w:r>
          </w:p>
        </w:tc>
        <w:tc>
          <w:tcPr>
            <w:tcW w:w="0" w:type="dxa"/>
            <w:vAlign w:val="bottom"/>
          </w:tcPr>
          <w:p>
            <w:pPr>
              <w:spacing w:after="0"/>
              <w:rPr>
                <w:sz w:val="1"/>
                <w:szCs w:val="1"/>
                <w:color w:val="auto"/>
              </w:rPr>
            </w:pPr>
          </w:p>
        </w:tc>
      </w:tr>
      <w:tr>
        <w:trPr>
          <w:trHeight w:val="81"/>
        </w:trPr>
        <w:tc>
          <w:tcPr>
            <w:tcW w:w="3280" w:type="dxa"/>
            <w:vAlign w:val="bottom"/>
            <w:tcBorders>
              <w:right w:val="single" w:sz="8" w:color="E5E6E6"/>
            </w:tcBorders>
            <w:vMerge w:val="restart"/>
            <w:shd w:val="clear" w:color="auto" w:fill="1077A9"/>
          </w:tcPr>
          <w:p>
            <w:pPr>
              <w:ind w:left="100"/>
              <w:spacing w:after="0" w:line="162" w:lineRule="exact"/>
              <w:rPr>
                <w:sz w:val="20"/>
                <w:szCs w:val="20"/>
                <w:color w:val="auto"/>
              </w:rPr>
            </w:pPr>
            <w:r>
              <w:rPr>
                <w:rFonts w:ascii="Arial" w:cs="Arial" w:eastAsia="Arial" w:hAnsi="Arial"/>
                <w:sz w:val="12"/>
                <w:szCs w:val="12"/>
                <w:color w:val="FFFFFF"/>
              </w:rPr>
              <w:t>Position</w:t>
            </w:r>
            <w:r>
              <w:rPr>
                <w:rFonts w:ascii="Arial" w:cs="Arial" w:eastAsia="Arial" w:hAnsi="Arial"/>
                <w:sz w:val="18"/>
                <w:szCs w:val="18"/>
                <w:color w:val="FFFFFF"/>
                <w:vertAlign w:val="superscript"/>
              </w:rPr>
              <w:t>1</w:t>
            </w:r>
          </w:p>
        </w:tc>
        <w:tc>
          <w:tcPr>
            <w:tcW w:w="480" w:type="dxa"/>
            <w:vAlign w:val="bottom"/>
            <w:tcBorders>
              <w:right w:val="single" w:sz="8" w:color="E5E6E6"/>
            </w:tcBorders>
            <w:vMerge w:val="continue"/>
            <w:shd w:val="clear" w:color="auto" w:fill="1077A9"/>
          </w:tcPr>
          <w:p>
            <w:pPr>
              <w:spacing w:after="0"/>
              <w:rPr>
                <w:sz w:val="7"/>
                <w:szCs w:val="7"/>
                <w:color w:val="auto"/>
              </w:rPr>
            </w:pPr>
          </w:p>
        </w:tc>
        <w:tc>
          <w:tcPr>
            <w:tcW w:w="980" w:type="dxa"/>
            <w:vAlign w:val="bottom"/>
            <w:tcBorders>
              <w:right w:val="single" w:sz="8" w:color="E5E6E6"/>
            </w:tcBorders>
            <w:vMerge w:val="continue"/>
            <w:shd w:val="clear" w:color="auto" w:fill="1077A9"/>
          </w:tcPr>
          <w:p>
            <w:pPr>
              <w:spacing w:after="0"/>
              <w:rPr>
                <w:sz w:val="7"/>
                <w:szCs w:val="7"/>
                <w:color w:val="auto"/>
              </w:rPr>
            </w:pPr>
          </w:p>
        </w:tc>
        <w:tc>
          <w:tcPr>
            <w:tcW w:w="900" w:type="dxa"/>
            <w:vAlign w:val="bottom"/>
            <w:tcBorders>
              <w:right w:val="single" w:sz="8" w:color="E5E6E6"/>
            </w:tcBorders>
            <w:vMerge w:val="continue"/>
            <w:shd w:val="clear" w:color="auto" w:fill="1077A9"/>
          </w:tcPr>
          <w:p>
            <w:pPr>
              <w:spacing w:after="0"/>
              <w:rPr>
                <w:sz w:val="7"/>
                <w:szCs w:val="7"/>
                <w:color w:val="auto"/>
              </w:rPr>
            </w:pPr>
          </w:p>
        </w:tc>
        <w:tc>
          <w:tcPr>
            <w:tcW w:w="1100" w:type="dxa"/>
            <w:vAlign w:val="bottom"/>
            <w:tcBorders>
              <w:right w:val="single" w:sz="8" w:color="E5E6E6"/>
            </w:tcBorders>
            <w:vMerge w:val="restart"/>
            <w:shd w:val="clear" w:color="auto" w:fill="1077A9"/>
          </w:tcPr>
          <w:p>
            <w:pPr>
              <w:jc w:val="right"/>
              <w:ind w:right="129"/>
              <w:spacing w:after="0" w:line="162" w:lineRule="exact"/>
              <w:rPr>
                <w:sz w:val="20"/>
                <w:szCs w:val="20"/>
                <w:color w:val="auto"/>
              </w:rPr>
            </w:pPr>
            <w:r>
              <w:rPr>
                <w:rFonts w:ascii="Arial" w:cs="Arial" w:eastAsia="Arial" w:hAnsi="Arial"/>
                <w:sz w:val="12"/>
                <w:szCs w:val="12"/>
                <w:color w:val="FFFFFF"/>
              </w:rPr>
              <w:t>Awards($)</w:t>
            </w:r>
            <w:r>
              <w:rPr>
                <w:rFonts w:ascii="Arial" w:cs="Arial" w:eastAsia="Arial" w:hAnsi="Arial"/>
                <w:sz w:val="18"/>
                <w:szCs w:val="18"/>
                <w:color w:val="FFFFFF"/>
                <w:vertAlign w:val="superscript"/>
              </w:rPr>
              <w:t>4</w:t>
            </w:r>
          </w:p>
        </w:tc>
        <w:tc>
          <w:tcPr>
            <w:tcW w:w="1140" w:type="dxa"/>
            <w:vAlign w:val="bottom"/>
            <w:tcBorders>
              <w:right w:val="single" w:sz="8" w:color="E5E6E6"/>
            </w:tcBorders>
            <w:vMerge w:val="restart"/>
            <w:shd w:val="clear" w:color="auto" w:fill="1077A9"/>
          </w:tcPr>
          <w:p>
            <w:pPr>
              <w:ind w:left="80"/>
              <w:spacing w:after="0"/>
              <w:rPr>
                <w:sz w:val="20"/>
                <w:szCs w:val="20"/>
                <w:color w:val="auto"/>
              </w:rPr>
            </w:pPr>
            <w:r>
              <w:rPr>
                <w:rFonts w:ascii="Arial" w:cs="Arial" w:eastAsia="Arial" w:hAnsi="Arial"/>
                <w:sz w:val="14"/>
                <w:szCs w:val="14"/>
                <w:color w:val="FFFFFF"/>
              </w:rPr>
              <w:t>Compensation</w:t>
            </w:r>
          </w:p>
        </w:tc>
        <w:tc>
          <w:tcPr>
            <w:tcW w:w="1080" w:type="dxa"/>
            <w:vAlign w:val="bottom"/>
            <w:tcBorders>
              <w:right w:val="single" w:sz="8" w:color="E5E6E6"/>
            </w:tcBorders>
            <w:vMerge w:val="continue"/>
            <w:shd w:val="clear" w:color="auto" w:fill="1077A9"/>
          </w:tcPr>
          <w:p>
            <w:pPr>
              <w:spacing w:after="0"/>
              <w:rPr>
                <w:sz w:val="7"/>
                <w:szCs w:val="7"/>
                <w:color w:val="auto"/>
              </w:rPr>
            </w:pPr>
          </w:p>
        </w:tc>
        <w:tc>
          <w:tcPr>
            <w:tcW w:w="1160" w:type="dxa"/>
            <w:vAlign w:val="bottom"/>
            <w:tcBorders>
              <w:right w:val="single" w:sz="8" w:color="E5E6E6"/>
            </w:tcBorders>
            <w:vMerge w:val="continue"/>
            <w:shd w:val="clear" w:color="auto" w:fill="1077A9"/>
          </w:tcPr>
          <w:p>
            <w:pPr>
              <w:spacing w:after="0"/>
              <w:rPr>
                <w:sz w:val="7"/>
                <w:szCs w:val="7"/>
                <w:color w:val="auto"/>
              </w:rPr>
            </w:pPr>
          </w:p>
        </w:tc>
        <w:tc>
          <w:tcPr>
            <w:tcW w:w="112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80" w:type="dxa"/>
            <w:vAlign w:val="bottom"/>
            <w:tcBorders>
              <w:right w:val="single" w:sz="8" w:color="E5E6E6"/>
            </w:tcBorders>
            <w:vMerge w:val="continue"/>
            <w:shd w:val="clear" w:color="auto" w:fill="1077A9"/>
          </w:tcPr>
          <w:p>
            <w:pPr>
              <w:spacing w:after="0"/>
              <w:rPr>
                <w:sz w:val="7"/>
                <w:szCs w:val="7"/>
                <w:color w:val="auto"/>
              </w:rPr>
            </w:pPr>
          </w:p>
        </w:tc>
        <w:tc>
          <w:tcPr>
            <w:tcW w:w="480" w:type="dxa"/>
            <w:vAlign w:val="bottom"/>
            <w:tcBorders>
              <w:right w:val="single" w:sz="8" w:color="E5E6E6"/>
            </w:tcBorders>
            <w:shd w:val="clear" w:color="auto" w:fill="1077A9"/>
          </w:tcPr>
          <w:p>
            <w:pPr>
              <w:spacing w:after="0"/>
              <w:rPr>
                <w:sz w:val="7"/>
                <w:szCs w:val="7"/>
                <w:color w:val="auto"/>
              </w:rPr>
            </w:pPr>
          </w:p>
        </w:tc>
        <w:tc>
          <w:tcPr>
            <w:tcW w:w="980" w:type="dxa"/>
            <w:vAlign w:val="bottom"/>
            <w:tcBorders>
              <w:right w:val="single" w:sz="8" w:color="E5E6E6"/>
            </w:tcBorders>
            <w:shd w:val="clear" w:color="auto" w:fill="1077A9"/>
          </w:tcPr>
          <w:p>
            <w:pPr>
              <w:spacing w:after="0"/>
              <w:rPr>
                <w:sz w:val="7"/>
                <w:szCs w:val="7"/>
                <w:color w:val="auto"/>
              </w:rPr>
            </w:pPr>
          </w:p>
        </w:tc>
        <w:tc>
          <w:tcPr>
            <w:tcW w:w="900" w:type="dxa"/>
            <w:vAlign w:val="bottom"/>
            <w:tcBorders>
              <w:right w:val="single" w:sz="8" w:color="E5E6E6"/>
            </w:tcBorders>
            <w:shd w:val="clear" w:color="auto" w:fill="1077A9"/>
          </w:tcPr>
          <w:p>
            <w:pPr>
              <w:spacing w:after="0"/>
              <w:rPr>
                <w:sz w:val="7"/>
                <w:szCs w:val="7"/>
                <w:color w:val="auto"/>
              </w:rPr>
            </w:pPr>
          </w:p>
        </w:tc>
        <w:tc>
          <w:tcPr>
            <w:tcW w:w="1100" w:type="dxa"/>
            <w:vAlign w:val="bottom"/>
            <w:tcBorders>
              <w:right w:val="single" w:sz="8" w:color="E5E6E6"/>
            </w:tcBorders>
            <w:vMerge w:val="continue"/>
            <w:shd w:val="clear" w:color="auto" w:fill="1077A9"/>
          </w:tcPr>
          <w:p>
            <w:pPr>
              <w:spacing w:after="0"/>
              <w:rPr>
                <w:sz w:val="7"/>
                <w:szCs w:val="7"/>
                <w:color w:val="auto"/>
              </w:rPr>
            </w:pPr>
          </w:p>
        </w:tc>
        <w:tc>
          <w:tcPr>
            <w:tcW w:w="1140" w:type="dxa"/>
            <w:vAlign w:val="bottom"/>
            <w:tcBorders>
              <w:right w:val="single" w:sz="8" w:color="E5E6E6"/>
            </w:tcBorders>
            <w:vMerge w:val="continue"/>
            <w:shd w:val="clear" w:color="auto" w:fill="1077A9"/>
          </w:tcPr>
          <w:p>
            <w:pPr>
              <w:spacing w:after="0"/>
              <w:rPr>
                <w:sz w:val="7"/>
                <w:szCs w:val="7"/>
                <w:color w:val="auto"/>
              </w:rPr>
            </w:pPr>
          </w:p>
        </w:tc>
        <w:tc>
          <w:tcPr>
            <w:tcW w:w="1080" w:type="dxa"/>
            <w:vAlign w:val="bottom"/>
            <w:tcBorders>
              <w:right w:val="single" w:sz="8" w:color="E5E6E6"/>
            </w:tcBorders>
            <w:vMerge w:val="restart"/>
            <w:shd w:val="clear" w:color="auto" w:fill="1077A9"/>
          </w:tcPr>
          <w:p>
            <w:pPr>
              <w:jc w:val="center"/>
              <w:ind w:right="9"/>
              <w:spacing w:after="0"/>
              <w:rPr>
                <w:sz w:val="20"/>
                <w:szCs w:val="20"/>
                <w:color w:val="auto"/>
              </w:rPr>
            </w:pPr>
            <w:r>
              <w:rPr>
                <w:rFonts w:ascii="Arial" w:cs="Arial" w:eastAsia="Arial" w:hAnsi="Arial"/>
                <w:sz w:val="14"/>
                <w:szCs w:val="14"/>
                <w:color w:val="FFFFFF"/>
              </w:rPr>
              <w:t>Deferred</w:t>
            </w:r>
          </w:p>
        </w:tc>
        <w:tc>
          <w:tcPr>
            <w:tcW w:w="1160" w:type="dxa"/>
            <w:vAlign w:val="bottom"/>
            <w:tcBorders>
              <w:right w:val="single" w:sz="8" w:color="E5E6E6"/>
            </w:tcBorders>
            <w:vMerge w:val="restart"/>
            <w:shd w:val="clear" w:color="auto" w:fill="1077A9"/>
          </w:tcPr>
          <w:p>
            <w:pPr>
              <w:jc w:val="center"/>
              <w:spacing w:after="0" w:line="181" w:lineRule="exact"/>
              <w:rPr>
                <w:sz w:val="20"/>
                <w:szCs w:val="20"/>
                <w:color w:val="auto"/>
              </w:rPr>
            </w:pPr>
            <w:r>
              <w:rPr>
                <w:rFonts w:ascii="Arial" w:cs="Arial" w:eastAsia="Arial" w:hAnsi="Arial"/>
                <w:sz w:val="13"/>
                <w:szCs w:val="13"/>
                <w:color w:val="FFFFFF"/>
              </w:rPr>
              <w:t>($)</w:t>
            </w:r>
            <w:r>
              <w:rPr>
                <w:rFonts w:ascii="Arial" w:cs="Arial" w:eastAsia="Arial" w:hAnsi="Arial"/>
                <w:sz w:val="20"/>
                <w:szCs w:val="20"/>
                <w:color w:val="FFFFFF"/>
                <w:vertAlign w:val="superscript"/>
              </w:rPr>
              <w:t>7</w:t>
            </w:r>
          </w:p>
        </w:tc>
        <w:tc>
          <w:tcPr>
            <w:tcW w:w="1120" w:type="dxa"/>
            <w:vAlign w:val="bottom"/>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3280" w:type="dxa"/>
            <w:vAlign w:val="bottom"/>
            <w:tcBorders>
              <w:right w:val="single" w:sz="8" w:color="E5E6E6"/>
            </w:tcBorders>
            <w:shd w:val="clear" w:color="auto" w:fill="1077A9"/>
          </w:tcPr>
          <w:p>
            <w:pPr>
              <w:spacing w:after="0"/>
              <w:rPr>
                <w:sz w:val="8"/>
                <w:szCs w:val="8"/>
                <w:color w:val="auto"/>
              </w:rPr>
            </w:pPr>
          </w:p>
        </w:tc>
        <w:tc>
          <w:tcPr>
            <w:tcW w:w="480" w:type="dxa"/>
            <w:vAlign w:val="bottom"/>
            <w:tcBorders>
              <w:right w:val="single" w:sz="8" w:color="E5E6E6"/>
            </w:tcBorders>
            <w:shd w:val="clear" w:color="auto" w:fill="1077A9"/>
          </w:tcPr>
          <w:p>
            <w:pPr>
              <w:spacing w:after="0"/>
              <w:rPr>
                <w:sz w:val="8"/>
                <w:szCs w:val="8"/>
                <w:color w:val="auto"/>
              </w:rPr>
            </w:pPr>
          </w:p>
        </w:tc>
        <w:tc>
          <w:tcPr>
            <w:tcW w:w="980" w:type="dxa"/>
            <w:vAlign w:val="bottom"/>
            <w:tcBorders>
              <w:right w:val="single" w:sz="8" w:color="E5E6E6"/>
            </w:tcBorders>
            <w:shd w:val="clear" w:color="auto" w:fill="1077A9"/>
          </w:tcPr>
          <w:p>
            <w:pPr>
              <w:spacing w:after="0"/>
              <w:rPr>
                <w:sz w:val="8"/>
                <w:szCs w:val="8"/>
                <w:color w:val="auto"/>
              </w:rPr>
            </w:pPr>
          </w:p>
        </w:tc>
        <w:tc>
          <w:tcPr>
            <w:tcW w:w="900" w:type="dxa"/>
            <w:vAlign w:val="bottom"/>
            <w:tcBorders>
              <w:right w:val="single" w:sz="8" w:color="E5E6E6"/>
            </w:tcBorders>
            <w:shd w:val="clear" w:color="auto" w:fill="1077A9"/>
          </w:tcPr>
          <w:p>
            <w:pPr>
              <w:spacing w:after="0"/>
              <w:rPr>
                <w:sz w:val="8"/>
                <w:szCs w:val="8"/>
                <w:color w:val="auto"/>
              </w:rPr>
            </w:pPr>
          </w:p>
        </w:tc>
        <w:tc>
          <w:tcPr>
            <w:tcW w:w="1100" w:type="dxa"/>
            <w:vAlign w:val="bottom"/>
            <w:tcBorders>
              <w:right w:val="single" w:sz="8" w:color="E5E6E6"/>
            </w:tcBorders>
            <w:shd w:val="clear" w:color="auto" w:fill="1077A9"/>
          </w:tcPr>
          <w:p>
            <w:pPr>
              <w:spacing w:after="0"/>
              <w:rPr>
                <w:sz w:val="8"/>
                <w:szCs w:val="8"/>
                <w:color w:val="auto"/>
              </w:rPr>
            </w:pPr>
          </w:p>
        </w:tc>
        <w:tc>
          <w:tcPr>
            <w:tcW w:w="1140" w:type="dxa"/>
            <w:vAlign w:val="bottom"/>
            <w:tcBorders>
              <w:right w:val="single" w:sz="8" w:color="E5E6E6"/>
            </w:tcBorders>
            <w:vMerge w:val="restart"/>
            <w:shd w:val="clear" w:color="auto" w:fill="1077A9"/>
          </w:tcPr>
          <w:p>
            <w:pPr>
              <w:jc w:val="center"/>
              <w:spacing w:after="0" w:line="230" w:lineRule="exact"/>
              <w:rPr>
                <w:sz w:val="20"/>
                <w:szCs w:val="20"/>
                <w:color w:val="auto"/>
              </w:rPr>
            </w:pPr>
            <w:r>
              <w:rPr>
                <w:rFonts w:ascii="Arial" w:cs="Arial" w:eastAsia="Arial" w:hAnsi="Arial"/>
                <w:sz w:val="14"/>
                <w:szCs w:val="14"/>
                <w:color w:val="FFFFFF"/>
                <w:w w:val="93"/>
              </w:rPr>
              <w:t>($)</w:t>
            </w:r>
            <w:r>
              <w:rPr>
                <w:rFonts w:ascii="Arial" w:cs="Arial" w:eastAsia="Arial" w:hAnsi="Arial"/>
                <w:sz w:val="23"/>
                <w:szCs w:val="23"/>
                <w:color w:val="FFFFFF"/>
                <w:w w:val="93"/>
                <w:vertAlign w:val="superscript"/>
              </w:rPr>
              <w:t>5</w:t>
            </w:r>
          </w:p>
        </w:tc>
        <w:tc>
          <w:tcPr>
            <w:tcW w:w="1080" w:type="dxa"/>
            <w:vAlign w:val="bottom"/>
            <w:tcBorders>
              <w:right w:val="single" w:sz="8" w:color="E5E6E6"/>
            </w:tcBorders>
            <w:vMerge w:val="continue"/>
            <w:shd w:val="clear" w:color="auto" w:fill="1077A9"/>
          </w:tcPr>
          <w:p>
            <w:pPr>
              <w:spacing w:after="0"/>
              <w:rPr>
                <w:sz w:val="8"/>
                <w:szCs w:val="8"/>
                <w:color w:val="auto"/>
              </w:rPr>
            </w:pPr>
          </w:p>
        </w:tc>
        <w:tc>
          <w:tcPr>
            <w:tcW w:w="1160" w:type="dxa"/>
            <w:vAlign w:val="bottom"/>
            <w:tcBorders>
              <w:right w:val="single" w:sz="8" w:color="E5E6E6"/>
            </w:tcBorders>
            <w:vMerge w:val="continue"/>
            <w:shd w:val="clear" w:color="auto" w:fill="1077A9"/>
          </w:tcPr>
          <w:p>
            <w:pPr>
              <w:spacing w:after="0"/>
              <w:rPr>
                <w:sz w:val="8"/>
                <w:szCs w:val="8"/>
                <w:color w:val="auto"/>
              </w:rPr>
            </w:pPr>
          </w:p>
        </w:tc>
        <w:tc>
          <w:tcPr>
            <w:tcW w:w="1120" w:type="dxa"/>
            <w:vAlign w:val="bottom"/>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280" w:type="dxa"/>
            <w:vAlign w:val="bottom"/>
            <w:tcBorders>
              <w:right w:val="single" w:sz="8" w:color="E5E6E6"/>
            </w:tcBorders>
            <w:shd w:val="clear" w:color="auto" w:fill="1077A9"/>
          </w:tcPr>
          <w:p>
            <w:pPr>
              <w:spacing w:after="0"/>
              <w:rPr>
                <w:sz w:val="12"/>
                <w:szCs w:val="12"/>
                <w:color w:val="auto"/>
              </w:rPr>
            </w:pPr>
          </w:p>
        </w:tc>
        <w:tc>
          <w:tcPr>
            <w:tcW w:w="480" w:type="dxa"/>
            <w:vAlign w:val="bottom"/>
            <w:tcBorders>
              <w:right w:val="single" w:sz="8" w:color="E5E6E6"/>
            </w:tcBorders>
            <w:shd w:val="clear" w:color="auto" w:fill="1077A9"/>
          </w:tcPr>
          <w:p>
            <w:pPr>
              <w:spacing w:after="0"/>
              <w:rPr>
                <w:sz w:val="12"/>
                <w:szCs w:val="12"/>
                <w:color w:val="auto"/>
              </w:rPr>
            </w:pPr>
          </w:p>
        </w:tc>
        <w:tc>
          <w:tcPr>
            <w:tcW w:w="980" w:type="dxa"/>
            <w:vAlign w:val="bottom"/>
            <w:tcBorders>
              <w:right w:val="single" w:sz="8" w:color="E5E6E6"/>
            </w:tcBorders>
            <w:shd w:val="clear" w:color="auto" w:fill="1077A9"/>
          </w:tcPr>
          <w:p>
            <w:pPr>
              <w:spacing w:after="0"/>
              <w:rPr>
                <w:sz w:val="12"/>
                <w:szCs w:val="12"/>
                <w:color w:val="auto"/>
              </w:rPr>
            </w:pPr>
          </w:p>
        </w:tc>
        <w:tc>
          <w:tcPr>
            <w:tcW w:w="900" w:type="dxa"/>
            <w:vAlign w:val="bottom"/>
            <w:tcBorders>
              <w:right w:val="single" w:sz="8" w:color="E5E6E6"/>
            </w:tcBorders>
            <w:shd w:val="clear" w:color="auto" w:fill="1077A9"/>
          </w:tcPr>
          <w:p>
            <w:pPr>
              <w:spacing w:after="0"/>
              <w:rPr>
                <w:sz w:val="12"/>
                <w:szCs w:val="12"/>
                <w:color w:val="auto"/>
              </w:rPr>
            </w:pPr>
          </w:p>
        </w:tc>
        <w:tc>
          <w:tcPr>
            <w:tcW w:w="1100" w:type="dxa"/>
            <w:vAlign w:val="bottom"/>
            <w:tcBorders>
              <w:right w:val="single" w:sz="8" w:color="E5E6E6"/>
            </w:tcBorders>
            <w:shd w:val="clear" w:color="auto" w:fill="1077A9"/>
          </w:tcPr>
          <w:p>
            <w:pPr>
              <w:spacing w:after="0"/>
              <w:rPr>
                <w:sz w:val="12"/>
                <w:szCs w:val="12"/>
                <w:color w:val="auto"/>
              </w:rPr>
            </w:pPr>
          </w:p>
        </w:tc>
        <w:tc>
          <w:tcPr>
            <w:tcW w:w="1140" w:type="dxa"/>
            <w:vAlign w:val="bottom"/>
            <w:tcBorders>
              <w:right w:val="single" w:sz="8" w:color="E5E6E6"/>
            </w:tcBorders>
            <w:vMerge w:val="continue"/>
            <w:shd w:val="clear" w:color="auto" w:fill="1077A9"/>
          </w:tcPr>
          <w:p>
            <w:pPr>
              <w:spacing w:after="0"/>
              <w:rPr>
                <w:sz w:val="12"/>
                <w:szCs w:val="12"/>
                <w:color w:val="auto"/>
              </w:rPr>
            </w:pPr>
          </w:p>
        </w:tc>
        <w:tc>
          <w:tcPr>
            <w:tcW w:w="1080" w:type="dxa"/>
            <w:vAlign w:val="bottom"/>
            <w:tcBorders>
              <w:right w:val="single" w:sz="8" w:color="E5E6E6"/>
            </w:tcBorders>
            <w:shd w:val="clear" w:color="auto" w:fill="1077A9"/>
          </w:tcPr>
          <w:p>
            <w:pPr>
              <w:jc w:val="center"/>
              <w:ind w:right="9"/>
              <w:spacing w:after="0" w:line="143" w:lineRule="exact"/>
              <w:rPr>
                <w:sz w:val="20"/>
                <w:szCs w:val="20"/>
                <w:color w:val="auto"/>
              </w:rPr>
            </w:pPr>
            <w:r>
              <w:rPr>
                <w:rFonts w:ascii="Arial" w:cs="Arial" w:eastAsia="Arial" w:hAnsi="Arial"/>
                <w:sz w:val="14"/>
                <w:szCs w:val="14"/>
                <w:color w:val="FFFFFF"/>
              </w:rPr>
              <w:t>Compensation</w:t>
            </w:r>
          </w:p>
        </w:tc>
        <w:tc>
          <w:tcPr>
            <w:tcW w:w="1160" w:type="dxa"/>
            <w:vAlign w:val="bottom"/>
            <w:tcBorders>
              <w:right w:val="single" w:sz="8" w:color="E5E6E6"/>
            </w:tcBorders>
            <w:shd w:val="clear" w:color="auto" w:fill="1077A9"/>
          </w:tcPr>
          <w:p>
            <w:pPr>
              <w:spacing w:after="0"/>
              <w:rPr>
                <w:sz w:val="12"/>
                <w:szCs w:val="12"/>
                <w:color w:val="auto"/>
              </w:rPr>
            </w:pPr>
          </w:p>
        </w:tc>
        <w:tc>
          <w:tcPr>
            <w:tcW w:w="1120" w:type="dxa"/>
            <w:vAlign w:val="bottom"/>
            <w:shd w:val="clear" w:color="auto" w:fill="1077A9"/>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80" w:type="dxa"/>
            <w:vAlign w:val="bottom"/>
            <w:tcBorders>
              <w:right w:val="single" w:sz="8" w:color="E5E6E6"/>
            </w:tcBorders>
            <w:shd w:val="clear" w:color="auto" w:fill="1077A9"/>
          </w:tcPr>
          <w:p>
            <w:pPr>
              <w:spacing w:after="0"/>
              <w:rPr>
                <w:sz w:val="20"/>
                <w:szCs w:val="20"/>
                <w:color w:val="auto"/>
              </w:rPr>
            </w:pPr>
          </w:p>
        </w:tc>
        <w:tc>
          <w:tcPr>
            <w:tcW w:w="480" w:type="dxa"/>
            <w:vAlign w:val="bottom"/>
            <w:tcBorders>
              <w:right w:val="single" w:sz="8" w:color="E5E6E6"/>
            </w:tcBorders>
            <w:shd w:val="clear" w:color="auto" w:fill="1077A9"/>
          </w:tcPr>
          <w:p>
            <w:pPr>
              <w:spacing w:after="0"/>
              <w:rPr>
                <w:sz w:val="20"/>
                <w:szCs w:val="20"/>
                <w:color w:val="auto"/>
              </w:rPr>
            </w:pPr>
          </w:p>
        </w:tc>
        <w:tc>
          <w:tcPr>
            <w:tcW w:w="980" w:type="dxa"/>
            <w:vAlign w:val="bottom"/>
            <w:tcBorders>
              <w:right w:val="single" w:sz="8" w:color="E5E6E6"/>
            </w:tcBorders>
            <w:shd w:val="clear" w:color="auto" w:fill="1077A9"/>
          </w:tcPr>
          <w:p>
            <w:pPr>
              <w:spacing w:after="0"/>
              <w:rPr>
                <w:sz w:val="20"/>
                <w:szCs w:val="20"/>
                <w:color w:val="auto"/>
              </w:rPr>
            </w:pPr>
          </w:p>
        </w:tc>
        <w:tc>
          <w:tcPr>
            <w:tcW w:w="900" w:type="dxa"/>
            <w:vAlign w:val="bottom"/>
            <w:tcBorders>
              <w:right w:val="single" w:sz="8" w:color="E5E6E6"/>
            </w:tcBorders>
            <w:shd w:val="clear" w:color="auto" w:fill="1077A9"/>
          </w:tcPr>
          <w:p>
            <w:pPr>
              <w:spacing w:after="0"/>
              <w:rPr>
                <w:sz w:val="20"/>
                <w:szCs w:val="20"/>
                <w:color w:val="auto"/>
              </w:rPr>
            </w:pPr>
          </w:p>
        </w:tc>
        <w:tc>
          <w:tcPr>
            <w:tcW w:w="1100" w:type="dxa"/>
            <w:vAlign w:val="bottom"/>
            <w:tcBorders>
              <w:right w:val="single" w:sz="8" w:color="E5E6E6"/>
            </w:tcBorders>
            <w:shd w:val="clear" w:color="auto" w:fill="1077A9"/>
          </w:tcPr>
          <w:p>
            <w:pPr>
              <w:spacing w:after="0"/>
              <w:rPr>
                <w:sz w:val="20"/>
                <w:szCs w:val="20"/>
                <w:color w:val="auto"/>
              </w:rPr>
            </w:pPr>
          </w:p>
        </w:tc>
        <w:tc>
          <w:tcPr>
            <w:tcW w:w="1140" w:type="dxa"/>
            <w:vAlign w:val="bottom"/>
            <w:tcBorders>
              <w:right w:val="single" w:sz="8" w:color="E5E6E6"/>
            </w:tcBorders>
            <w:shd w:val="clear" w:color="auto" w:fill="1077A9"/>
          </w:tcPr>
          <w:p>
            <w:pPr>
              <w:spacing w:after="0"/>
              <w:rPr>
                <w:sz w:val="20"/>
                <w:szCs w:val="20"/>
                <w:color w:val="auto"/>
              </w:rPr>
            </w:pPr>
          </w:p>
        </w:tc>
        <w:tc>
          <w:tcPr>
            <w:tcW w:w="1080" w:type="dxa"/>
            <w:vAlign w:val="bottom"/>
            <w:tcBorders>
              <w:right w:val="single" w:sz="8" w:color="E5E6E6"/>
            </w:tcBorders>
            <w:shd w:val="clear" w:color="auto" w:fill="1077A9"/>
          </w:tcPr>
          <w:p>
            <w:pPr>
              <w:jc w:val="center"/>
              <w:spacing w:after="0" w:line="230" w:lineRule="exact"/>
              <w:rPr>
                <w:sz w:val="20"/>
                <w:szCs w:val="20"/>
                <w:color w:val="auto"/>
              </w:rPr>
            </w:pPr>
            <w:r>
              <w:rPr>
                <w:rFonts w:ascii="Arial" w:cs="Arial" w:eastAsia="Arial" w:hAnsi="Arial"/>
                <w:sz w:val="14"/>
                <w:szCs w:val="14"/>
                <w:color w:val="FFFFFF"/>
              </w:rPr>
              <w:t>Earnings ($)</w:t>
            </w:r>
            <w:r>
              <w:rPr>
                <w:rFonts w:ascii="Arial" w:cs="Arial" w:eastAsia="Arial" w:hAnsi="Arial"/>
                <w:sz w:val="23"/>
                <w:szCs w:val="23"/>
                <w:color w:val="FFFFFF"/>
                <w:vertAlign w:val="superscript"/>
              </w:rPr>
              <w:t>6</w:t>
            </w:r>
          </w:p>
        </w:tc>
        <w:tc>
          <w:tcPr>
            <w:tcW w:w="1160" w:type="dxa"/>
            <w:vAlign w:val="bottom"/>
            <w:tcBorders>
              <w:right w:val="single" w:sz="8" w:color="E5E6E6"/>
            </w:tcBorders>
            <w:shd w:val="clear" w:color="auto" w:fill="1077A9"/>
          </w:tcPr>
          <w:p>
            <w:pPr>
              <w:spacing w:after="0"/>
              <w:rPr>
                <w:sz w:val="20"/>
                <w:szCs w:val="20"/>
                <w:color w:val="auto"/>
              </w:rPr>
            </w:pPr>
          </w:p>
        </w:tc>
        <w:tc>
          <w:tcPr>
            <w:tcW w:w="1120" w:type="dxa"/>
            <w:vAlign w:val="bottom"/>
            <w:shd w:val="clear" w:color="auto" w:fill="1077A9"/>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H. Lynn Harton</w:t>
            </w:r>
          </w:p>
        </w:tc>
        <w:tc>
          <w:tcPr>
            <w:tcW w:w="480" w:type="dxa"/>
            <w:vAlign w:val="bottom"/>
          </w:tcPr>
          <w:p>
            <w:pPr>
              <w:ind w:left="80"/>
              <w:spacing w:after="0"/>
              <w:rPr>
                <w:sz w:val="20"/>
                <w:szCs w:val="20"/>
                <w:color w:val="auto"/>
              </w:rPr>
            </w:pPr>
            <w:r>
              <w:rPr>
                <w:rFonts w:ascii="Arial" w:cs="Arial" w:eastAsia="Arial" w:hAnsi="Arial"/>
                <w:sz w:val="14"/>
                <w:szCs w:val="14"/>
                <w:color w:val="auto"/>
              </w:rPr>
              <w:t>2020</w:t>
            </w:r>
          </w:p>
        </w:tc>
        <w:tc>
          <w:tcPr>
            <w:tcW w:w="980" w:type="dxa"/>
            <w:vAlign w:val="bottom"/>
          </w:tcPr>
          <w:p>
            <w:pPr>
              <w:ind w:left="120"/>
              <w:spacing w:after="0"/>
              <w:rPr>
                <w:sz w:val="20"/>
                <w:szCs w:val="20"/>
                <w:color w:val="auto"/>
              </w:rPr>
            </w:pPr>
            <w:r>
              <w:rPr>
                <w:rFonts w:ascii="Arial" w:cs="Arial" w:eastAsia="Arial" w:hAnsi="Arial"/>
                <w:sz w:val="14"/>
                <w:szCs w:val="14"/>
                <w:color w:val="auto"/>
              </w:rPr>
              <w:t>$ 775,000</w:t>
            </w:r>
          </w:p>
        </w:tc>
        <w:tc>
          <w:tcPr>
            <w:tcW w:w="900" w:type="dxa"/>
            <w:vAlign w:val="bottom"/>
          </w:tcPr>
          <w:p>
            <w:pPr>
              <w:ind w:left="4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$ 891,586</w:t>
            </w:r>
          </w:p>
        </w:tc>
        <w:tc>
          <w:tcPr>
            <w:tcW w:w="1140" w:type="dxa"/>
            <w:vAlign w:val="bottom"/>
          </w:tcPr>
          <w:p>
            <w:pPr>
              <w:ind w:left="200"/>
              <w:spacing w:after="0"/>
              <w:rPr>
                <w:sz w:val="20"/>
                <w:szCs w:val="20"/>
                <w:color w:val="auto"/>
              </w:rPr>
            </w:pPr>
            <w:r>
              <w:rPr>
                <w:rFonts w:ascii="Arial" w:cs="Arial" w:eastAsia="Arial" w:hAnsi="Arial"/>
                <w:sz w:val="14"/>
                <w:szCs w:val="14"/>
                <w:color w:val="auto"/>
              </w:rPr>
              <w:t>$ 755,250</w:t>
            </w:r>
          </w:p>
        </w:tc>
        <w:tc>
          <w:tcPr>
            <w:tcW w:w="1080" w:type="dxa"/>
            <w:vAlign w:val="bottom"/>
          </w:tcPr>
          <w:p>
            <w:pPr>
              <w:jc w:val="center"/>
              <w:ind w:right="49"/>
              <w:spacing w:after="0"/>
              <w:rPr>
                <w:sz w:val="20"/>
                <w:szCs w:val="20"/>
                <w:color w:val="auto"/>
              </w:rPr>
            </w:pPr>
            <w:r>
              <w:rPr>
                <w:rFonts w:ascii="Arial" w:cs="Arial" w:eastAsia="Arial" w:hAnsi="Arial"/>
                <w:sz w:val="14"/>
                <w:szCs w:val="14"/>
                <w:color w:val="auto"/>
              </w:rPr>
              <w:t>$ 947,467</w:t>
            </w:r>
          </w:p>
        </w:tc>
        <w:tc>
          <w:tcPr>
            <w:tcW w:w="1160" w:type="dxa"/>
            <w:vAlign w:val="bottom"/>
          </w:tcPr>
          <w:p>
            <w:pPr>
              <w:jc w:val="right"/>
              <w:ind w:right="309"/>
              <w:spacing w:after="0"/>
              <w:rPr>
                <w:sz w:val="20"/>
                <w:szCs w:val="20"/>
                <w:color w:val="auto"/>
              </w:rPr>
            </w:pPr>
            <w:r>
              <w:rPr>
                <w:rFonts w:ascii="Arial" w:cs="Arial" w:eastAsia="Arial" w:hAnsi="Arial"/>
                <w:sz w:val="14"/>
                <w:szCs w:val="14"/>
                <w:color w:val="auto"/>
              </w:rPr>
              <w:t>$ 73,533</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$ 3,442,836</w:t>
            </w:r>
          </w:p>
        </w:tc>
        <w:tc>
          <w:tcPr>
            <w:tcW w:w="0" w:type="dxa"/>
            <w:vAlign w:val="bottom"/>
          </w:tcPr>
          <w:p>
            <w:pPr>
              <w:spacing w:after="0"/>
              <w:rPr>
                <w:sz w:val="1"/>
                <w:szCs w:val="1"/>
                <w:color w:val="auto"/>
              </w:rPr>
            </w:pPr>
          </w:p>
        </w:tc>
      </w:tr>
      <w:tr>
        <w:trPr>
          <w:trHeight w:val="189"/>
        </w:trPr>
        <w:tc>
          <w:tcPr>
            <w:tcW w:w="3280" w:type="dxa"/>
            <w:vAlign w:val="bottom"/>
          </w:tcPr>
          <w:p>
            <w:pPr>
              <w:ind w:left="100"/>
              <w:spacing w:after="0"/>
              <w:rPr>
                <w:sz w:val="20"/>
                <w:szCs w:val="20"/>
                <w:color w:val="auto"/>
              </w:rPr>
            </w:pPr>
            <w:r>
              <w:rPr>
                <w:rFonts w:ascii="Arial" w:cs="Arial" w:eastAsia="Arial" w:hAnsi="Arial"/>
                <w:sz w:val="14"/>
                <w:szCs w:val="14"/>
                <w:color w:val="auto"/>
              </w:rPr>
              <w:t>President &amp; Chief Executive Officer</w:t>
            </w:r>
          </w:p>
        </w:tc>
        <w:tc>
          <w:tcPr>
            <w:tcW w:w="480" w:type="dxa"/>
            <w:vAlign w:val="bottom"/>
          </w:tcPr>
          <w:p>
            <w:pPr>
              <w:ind w:left="80"/>
              <w:spacing w:after="0"/>
              <w:rPr>
                <w:sz w:val="20"/>
                <w:szCs w:val="20"/>
                <w:color w:val="auto"/>
              </w:rPr>
            </w:pPr>
            <w:r>
              <w:rPr>
                <w:rFonts w:ascii="Arial" w:cs="Arial" w:eastAsia="Arial" w:hAnsi="Arial"/>
                <w:sz w:val="14"/>
                <w:szCs w:val="14"/>
                <w:color w:val="auto"/>
              </w:rPr>
              <w:t>2019</w:t>
            </w:r>
          </w:p>
        </w:tc>
        <w:tc>
          <w:tcPr>
            <w:tcW w:w="980" w:type="dxa"/>
            <w:vAlign w:val="bottom"/>
          </w:tcPr>
          <w:p>
            <w:pPr>
              <w:ind w:left="220"/>
              <w:spacing w:after="0"/>
              <w:rPr>
                <w:sz w:val="20"/>
                <w:szCs w:val="20"/>
                <w:color w:val="auto"/>
              </w:rPr>
            </w:pPr>
            <w:r>
              <w:rPr>
                <w:rFonts w:ascii="Arial" w:cs="Arial" w:eastAsia="Arial" w:hAnsi="Arial"/>
                <w:sz w:val="14"/>
                <w:szCs w:val="14"/>
                <w:color w:val="auto"/>
              </w:rPr>
              <w:t>752,083</w:t>
            </w:r>
          </w:p>
        </w:tc>
        <w:tc>
          <w:tcPr>
            <w:tcW w:w="900" w:type="dxa"/>
            <w:vAlign w:val="bottom"/>
          </w:tcPr>
          <w:p>
            <w:pPr>
              <w:ind w:left="4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751,814</w:t>
            </w:r>
          </w:p>
        </w:tc>
        <w:tc>
          <w:tcPr>
            <w:tcW w:w="1140" w:type="dxa"/>
            <w:vAlign w:val="bottom"/>
          </w:tcPr>
          <w:p>
            <w:pPr>
              <w:ind w:left="200"/>
              <w:spacing w:after="0"/>
              <w:rPr>
                <w:sz w:val="20"/>
                <w:szCs w:val="20"/>
                <w:color w:val="auto"/>
              </w:rPr>
            </w:pPr>
            <w:r>
              <w:rPr>
                <w:rFonts w:ascii="Arial" w:cs="Arial" w:eastAsia="Arial" w:hAnsi="Arial"/>
                <w:sz w:val="14"/>
                <w:szCs w:val="14"/>
                <w:color w:val="auto"/>
              </w:rPr>
              <w:t>1,143,125</w:t>
            </w: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969,075</w:t>
            </w:r>
          </w:p>
        </w:tc>
        <w:tc>
          <w:tcPr>
            <w:tcW w:w="1160" w:type="dxa"/>
            <w:vAlign w:val="bottom"/>
          </w:tcPr>
          <w:p>
            <w:pPr>
              <w:jc w:val="center"/>
              <w:spacing w:after="0"/>
              <w:rPr>
                <w:sz w:val="20"/>
                <w:szCs w:val="20"/>
                <w:color w:val="auto"/>
              </w:rPr>
            </w:pPr>
            <w:r>
              <w:rPr>
                <w:rFonts w:ascii="Arial" w:cs="Arial" w:eastAsia="Arial" w:hAnsi="Arial"/>
                <w:sz w:val="14"/>
                <w:szCs w:val="14"/>
                <w:color w:val="auto"/>
              </w:rPr>
              <w:t>68,993</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3,685,090</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2018</w:t>
            </w:r>
          </w:p>
        </w:tc>
        <w:tc>
          <w:tcPr>
            <w:tcW w:w="980" w:type="dxa"/>
            <w:vAlign w:val="bottom"/>
          </w:tcPr>
          <w:p>
            <w:pPr>
              <w:ind w:left="220"/>
              <w:spacing w:after="0"/>
              <w:rPr>
                <w:sz w:val="20"/>
                <w:szCs w:val="20"/>
                <w:color w:val="auto"/>
              </w:rPr>
            </w:pPr>
            <w:r>
              <w:rPr>
                <w:rFonts w:ascii="Arial" w:cs="Arial" w:eastAsia="Arial" w:hAnsi="Arial"/>
                <w:sz w:val="14"/>
                <w:szCs w:val="14"/>
                <w:color w:val="auto"/>
              </w:rPr>
              <w:t>725,000</w:t>
            </w:r>
          </w:p>
        </w:tc>
        <w:tc>
          <w:tcPr>
            <w:tcW w:w="900" w:type="dxa"/>
            <w:vAlign w:val="bottom"/>
          </w:tcPr>
          <w:p>
            <w:pPr>
              <w:ind w:left="4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750,026</w:t>
            </w:r>
          </w:p>
        </w:tc>
        <w:tc>
          <w:tcPr>
            <w:tcW w:w="1140" w:type="dxa"/>
            <w:vAlign w:val="bottom"/>
          </w:tcPr>
          <w:p>
            <w:pPr>
              <w:jc w:val="center"/>
              <w:spacing w:after="0"/>
              <w:rPr>
                <w:sz w:val="20"/>
                <w:szCs w:val="20"/>
                <w:color w:val="auto"/>
              </w:rPr>
            </w:pPr>
            <w:r>
              <w:rPr>
                <w:rFonts w:ascii="Arial" w:cs="Arial" w:eastAsia="Arial" w:hAnsi="Arial"/>
                <w:sz w:val="14"/>
                <w:szCs w:val="14"/>
                <w:color w:val="auto"/>
              </w:rPr>
              <w:t>889,500</w:t>
            </w: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621,653</w:t>
            </w:r>
          </w:p>
        </w:tc>
        <w:tc>
          <w:tcPr>
            <w:tcW w:w="1160" w:type="dxa"/>
            <w:vAlign w:val="bottom"/>
          </w:tcPr>
          <w:p>
            <w:pPr>
              <w:jc w:val="center"/>
              <w:spacing w:after="0"/>
              <w:rPr>
                <w:sz w:val="20"/>
                <w:szCs w:val="20"/>
                <w:color w:val="auto"/>
              </w:rPr>
            </w:pPr>
            <w:r>
              <w:rPr>
                <w:rFonts w:ascii="Arial" w:cs="Arial" w:eastAsia="Arial" w:hAnsi="Arial"/>
                <w:sz w:val="14"/>
                <w:szCs w:val="14"/>
                <w:color w:val="auto"/>
              </w:rPr>
              <w:t>70,662</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3,056,841</w:t>
            </w:r>
          </w:p>
        </w:tc>
        <w:tc>
          <w:tcPr>
            <w:tcW w:w="0" w:type="dxa"/>
            <w:vAlign w:val="bottom"/>
          </w:tcPr>
          <w:p>
            <w:pPr>
              <w:spacing w:after="0"/>
              <w:rPr>
                <w:sz w:val="1"/>
                <w:szCs w:val="1"/>
                <w:color w:val="auto"/>
              </w:rPr>
            </w:pPr>
          </w:p>
        </w:tc>
      </w:tr>
      <w:tr>
        <w:trPr>
          <w:trHeight w:val="189"/>
        </w:trPr>
        <w:tc>
          <w:tcPr>
            <w:tcW w:w="3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b w:val="1"/>
                <w:bCs w:val="1"/>
                <w:color w:val="auto"/>
              </w:rPr>
              <w:t>Jefferson L. Harralson</w:t>
            </w:r>
          </w:p>
        </w:tc>
        <w:tc>
          <w:tcPr>
            <w:tcW w:w="48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2020</w:t>
            </w:r>
          </w:p>
        </w:tc>
        <w:tc>
          <w:tcPr>
            <w:tcW w:w="980" w:type="dxa"/>
            <w:vAlign w:val="bottom"/>
            <w:tcBorders>
              <w:right w:val="single" w:sz="8" w:color="E5E6E6"/>
            </w:tcBorders>
            <w:shd w:val="clear" w:color="auto" w:fill="E5E6E6"/>
          </w:tcPr>
          <w:p>
            <w:pPr>
              <w:ind w:left="220"/>
              <w:spacing w:after="0"/>
              <w:rPr>
                <w:sz w:val="20"/>
                <w:szCs w:val="20"/>
                <w:color w:val="auto"/>
              </w:rPr>
            </w:pPr>
            <w:r>
              <w:rPr>
                <w:rFonts w:ascii="Arial" w:cs="Arial" w:eastAsia="Arial" w:hAnsi="Arial"/>
                <w:sz w:val="14"/>
                <w:szCs w:val="14"/>
                <w:color w:val="auto"/>
              </w:rPr>
              <w:t>420,000</w:t>
            </w:r>
          </w:p>
        </w:tc>
        <w:tc>
          <w:tcPr>
            <w:tcW w:w="900" w:type="dxa"/>
            <w:vAlign w:val="bottom"/>
            <w:tcBorders>
              <w:right w:val="single" w:sz="8" w:color="E5E6E6"/>
            </w:tcBorders>
            <w:shd w:val="clear" w:color="auto" w:fill="E5E6E6"/>
          </w:tcPr>
          <w:p>
            <w:pPr>
              <w:ind w:left="42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294,123</w:t>
            </w:r>
          </w:p>
        </w:tc>
        <w:tc>
          <w:tcPr>
            <w:tcW w:w="11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262,438</w:t>
            </w:r>
          </w:p>
        </w:tc>
        <w:tc>
          <w:tcPr>
            <w:tcW w:w="108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137,727</w:t>
            </w:r>
          </w:p>
        </w:tc>
        <w:tc>
          <w:tcPr>
            <w:tcW w:w="11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44,250</w:t>
            </w:r>
          </w:p>
        </w:tc>
        <w:tc>
          <w:tcPr>
            <w:tcW w:w="1120" w:type="dxa"/>
            <w:vAlign w:val="bottom"/>
            <w:shd w:val="clear" w:color="auto" w:fill="E5E6E6"/>
          </w:tcPr>
          <w:p>
            <w:pPr>
              <w:jc w:val="right"/>
              <w:ind w:right="168"/>
              <w:spacing w:after="0"/>
              <w:rPr>
                <w:sz w:val="20"/>
                <w:szCs w:val="20"/>
                <w:color w:val="auto"/>
              </w:rPr>
            </w:pPr>
            <w:r>
              <w:rPr>
                <w:rFonts w:ascii="Arial" w:cs="Arial" w:eastAsia="Arial" w:hAnsi="Arial"/>
                <w:sz w:val="14"/>
                <w:szCs w:val="14"/>
                <w:color w:val="auto"/>
              </w:rPr>
              <w:t>1,158,538</w:t>
            </w:r>
          </w:p>
        </w:tc>
        <w:tc>
          <w:tcPr>
            <w:tcW w:w="0" w:type="dxa"/>
            <w:vAlign w:val="bottom"/>
          </w:tcPr>
          <w:p>
            <w:pPr>
              <w:spacing w:after="0"/>
              <w:rPr>
                <w:sz w:val="1"/>
                <w:szCs w:val="1"/>
                <w:color w:val="auto"/>
              </w:rPr>
            </w:pPr>
          </w:p>
        </w:tc>
      </w:tr>
      <w:tr>
        <w:trPr>
          <w:trHeight w:val="189"/>
        </w:trPr>
        <w:tc>
          <w:tcPr>
            <w:tcW w:w="3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Executive Vice President &amp; Chief Financial Officer</w:t>
            </w:r>
          </w:p>
        </w:tc>
        <w:tc>
          <w:tcPr>
            <w:tcW w:w="48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2019</w:t>
            </w:r>
          </w:p>
        </w:tc>
        <w:tc>
          <w:tcPr>
            <w:tcW w:w="980" w:type="dxa"/>
            <w:vAlign w:val="bottom"/>
            <w:tcBorders>
              <w:right w:val="single" w:sz="8" w:color="E5E6E6"/>
            </w:tcBorders>
            <w:shd w:val="clear" w:color="auto" w:fill="E5E6E6"/>
          </w:tcPr>
          <w:p>
            <w:pPr>
              <w:ind w:left="220"/>
              <w:spacing w:after="0"/>
              <w:rPr>
                <w:sz w:val="20"/>
                <w:szCs w:val="20"/>
                <w:color w:val="auto"/>
              </w:rPr>
            </w:pPr>
            <w:r>
              <w:rPr>
                <w:rFonts w:ascii="Arial" w:cs="Arial" w:eastAsia="Arial" w:hAnsi="Arial"/>
                <w:sz w:val="14"/>
                <w:szCs w:val="14"/>
                <w:color w:val="auto"/>
              </w:rPr>
              <w:t>408,333</w:t>
            </w:r>
          </w:p>
        </w:tc>
        <w:tc>
          <w:tcPr>
            <w:tcW w:w="900" w:type="dxa"/>
            <w:vAlign w:val="bottom"/>
            <w:tcBorders>
              <w:right w:val="single" w:sz="8" w:color="E5E6E6"/>
            </w:tcBorders>
            <w:shd w:val="clear" w:color="auto" w:fill="E5E6E6"/>
          </w:tcPr>
          <w:p>
            <w:pPr>
              <w:ind w:left="42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287,711</w:t>
            </w:r>
          </w:p>
        </w:tc>
        <w:tc>
          <w:tcPr>
            <w:tcW w:w="11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402,675</w:t>
            </w:r>
          </w:p>
        </w:tc>
        <w:tc>
          <w:tcPr>
            <w:tcW w:w="108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116,463</w:t>
            </w:r>
          </w:p>
        </w:tc>
        <w:tc>
          <w:tcPr>
            <w:tcW w:w="11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43,083</w:t>
            </w:r>
          </w:p>
        </w:tc>
        <w:tc>
          <w:tcPr>
            <w:tcW w:w="1120" w:type="dxa"/>
            <w:vAlign w:val="bottom"/>
            <w:shd w:val="clear" w:color="auto" w:fill="E5E6E6"/>
          </w:tcPr>
          <w:p>
            <w:pPr>
              <w:jc w:val="right"/>
              <w:ind w:right="168"/>
              <w:spacing w:after="0"/>
              <w:rPr>
                <w:sz w:val="20"/>
                <w:szCs w:val="20"/>
                <w:color w:val="auto"/>
              </w:rPr>
            </w:pPr>
            <w:r>
              <w:rPr>
                <w:rFonts w:ascii="Arial" w:cs="Arial" w:eastAsia="Arial" w:hAnsi="Arial"/>
                <w:sz w:val="14"/>
                <w:szCs w:val="14"/>
                <w:color w:val="auto"/>
              </w:rPr>
              <w:t>1,258,265</w:t>
            </w:r>
          </w:p>
        </w:tc>
        <w:tc>
          <w:tcPr>
            <w:tcW w:w="0" w:type="dxa"/>
            <w:vAlign w:val="bottom"/>
          </w:tcPr>
          <w:p>
            <w:pPr>
              <w:spacing w:after="0"/>
              <w:rPr>
                <w:sz w:val="1"/>
                <w:szCs w:val="1"/>
                <w:color w:val="auto"/>
              </w:rPr>
            </w:pPr>
          </w:p>
        </w:tc>
      </w:tr>
      <w:tr>
        <w:trPr>
          <w:trHeight w:val="229"/>
        </w:trPr>
        <w:tc>
          <w:tcPr>
            <w:tcW w:w="3280" w:type="dxa"/>
            <w:vAlign w:val="bottom"/>
            <w:tcBorders>
              <w:right w:val="single" w:sz="8" w:color="E5E6E6"/>
            </w:tcBorders>
            <w:shd w:val="clear" w:color="auto" w:fill="E5E6E6"/>
          </w:tcPr>
          <w:p>
            <w:pPr>
              <w:spacing w:after="0"/>
              <w:rPr>
                <w:sz w:val="19"/>
                <w:szCs w:val="19"/>
                <w:color w:val="auto"/>
              </w:rPr>
            </w:pPr>
          </w:p>
        </w:tc>
        <w:tc>
          <w:tcPr>
            <w:tcW w:w="48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2018</w:t>
            </w:r>
          </w:p>
        </w:tc>
        <w:tc>
          <w:tcPr>
            <w:tcW w:w="980" w:type="dxa"/>
            <w:vAlign w:val="bottom"/>
            <w:tcBorders>
              <w:right w:val="single" w:sz="8" w:color="E5E6E6"/>
            </w:tcBorders>
            <w:shd w:val="clear" w:color="auto" w:fill="E5E6E6"/>
          </w:tcPr>
          <w:p>
            <w:pPr>
              <w:ind w:left="220"/>
              <w:spacing w:after="0"/>
              <w:rPr>
                <w:sz w:val="20"/>
                <w:szCs w:val="20"/>
                <w:color w:val="auto"/>
              </w:rPr>
            </w:pPr>
            <w:r>
              <w:rPr>
                <w:rFonts w:ascii="Arial" w:cs="Arial" w:eastAsia="Arial" w:hAnsi="Arial"/>
                <w:sz w:val="14"/>
                <w:szCs w:val="14"/>
                <w:color w:val="auto"/>
              </w:rPr>
              <w:t>400,000</w:t>
            </w:r>
          </w:p>
        </w:tc>
        <w:tc>
          <w:tcPr>
            <w:tcW w:w="900" w:type="dxa"/>
            <w:vAlign w:val="bottom"/>
            <w:tcBorders>
              <w:right w:val="single" w:sz="8" w:color="E5E6E6"/>
            </w:tcBorders>
            <w:shd w:val="clear" w:color="auto" w:fill="E5E6E6"/>
          </w:tcPr>
          <w:p>
            <w:pPr>
              <w:ind w:left="42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280,014</w:t>
            </w:r>
          </w:p>
        </w:tc>
        <w:tc>
          <w:tcPr>
            <w:tcW w:w="11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308,360</w:t>
            </w:r>
          </w:p>
        </w:tc>
        <w:tc>
          <w:tcPr>
            <w:tcW w:w="1080" w:type="dxa"/>
            <w:vAlign w:val="bottom"/>
            <w:tcBorders>
              <w:right w:val="single" w:sz="8" w:color="E5E6E6"/>
            </w:tcBorders>
            <w:shd w:val="clear" w:color="auto" w:fill="E5E6E6"/>
          </w:tcPr>
          <w:p>
            <w:pPr>
              <w:jc w:val="right"/>
              <w:ind w:right="209"/>
              <w:spacing w:after="0"/>
              <w:rPr>
                <w:sz w:val="20"/>
                <w:szCs w:val="20"/>
                <w:color w:val="auto"/>
              </w:rPr>
            </w:pPr>
            <w:r>
              <w:rPr>
                <w:rFonts w:ascii="Arial" w:cs="Arial" w:eastAsia="Arial" w:hAnsi="Arial"/>
                <w:sz w:val="14"/>
                <w:szCs w:val="14"/>
                <w:color w:val="auto"/>
              </w:rPr>
              <w:t>58,371</w:t>
            </w:r>
          </w:p>
        </w:tc>
        <w:tc>
          <w:tcPr>
            <w:tcW w:w="11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49,652</w:t>
            </w:r>
          </w:p>
        </w:tc>
        <w:tc>
          <w:tcPr>
            <w:tcW w:w="1120" w:type="dxa"/>
            <w:vAlign w:val="bottom"/>
            <w:shd w:val="clear" w:color="auto" w:fill="E5E6E6"/>
          </w:tcPr>
          <w:p>
            <w:pPr>
              <w:jc w:val="right"/>
              <w:ind w:right="168"/>
              <w:spacing w:after="0"/>
              <w:rPr>
                <w:sz w:val="20"/>
                <w:szCs w:val="20"/>
                <w:color w:val="auto"/>
              </w:rPr>
            </w:pPr>
            <w:r>
              <w:rPr>
                <w:rFonts w:ascii="Arial" w:cs="Arial" w:eastAsia="Arial" w:hAnsi="Arial"/>
                <w:sz w:val="14"/>
                <w:szCs w:val="14"/>
                <w:color w:val="auto"/>
              </w:rPr>
              <w:t>1,096,397</w:t>
            </w:r>
          </w:p>
        </w:tc>
        <w:tc>
          <w:tcPr>
            <w:tcW w:w="0" w:type="dxa"/>
            <w:vAlign w:val="bottom"/>
          </w:tcPr>
          <w:p>
            <w:pPr>
              <w:spacing w:after="0"/>
              <w:rPr>
                <w:sz w:val="1"/>
                <w:szCs w:val="1"/>
                <w:color w:val="auto"/>
              </w:rPr>
            </w:pPr>
          </w:p>
        </w:tc>
      </w:tr>
      <w:tr>
        <w:trPr>
          <w:trHeight w:val="190"/>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Richard W. Bradshaw</w:t>
            </w:r>
          </w:p>
        </w:tc>
        <w:tc>
          <w:tcPr>
            <w:tcW w:w="480" w:type="dxa"/>
            <w:vAlign w:val="bottom"/>
          </w:tcPr>
          <w:p>
            <w:pPr>
              <w:ind w:left="80"/>
              <w:spacing w:after="0"/>
              <w:rPr>
                <w:sz w:val="20"/>
                <w:szCs w:val="20"/>
                <w:color w:val="auto"/>
              </w:rPr>
            </w:pPr>
            <w:r>
              <w:rPr>
                <w:rFonts w:ascii="Arial" w:cs="Arial" w:eastAsia="Arial" w:hAnsi="Arial"/>
                <w:sz w:val="14"/>
                <w:szCs w:val="14"/>
                <w:color w:val="auto"/>
              </w:rPr>
              <w:t>2020</w:t>
            </w:r>
          </w:p>
        </w:tc>
        <w:tc>
          <w:tcPr>
            <w:tcW w:w="980" w:type="dxa"/>
            <w:vAlign w:val="bottom"/>
          </w:tcPr>
          <w:p>
            <w:pPr>
              <w:ind w:left="220"/>
              <w:spacing w:after="0"/>
              <w:rPr>
                <w:sz w:val="20"/>
                <w:szCs w:val="20"/>
                <w:color w:val="auto"/>
              </w:rPr>
            </w:pPr>
            <w:r>
              <w:rPr>
                <w:rFonts w:ascii="Arial" w:cs="Arial" w:eastAsia="Arial" w:hAnsi="Arial"/>
                <w:sz w:val="14"/>
                <w:szCs w:val="14"/>
                <w:color w:val="auto"/>
              </w:rPr>
              <w:t>385,000</w:t>
            </w:r>
          </w:p>
        </w:tc>
        <w:tc>
          <w:tcPr>
            <w:tcW w:w="900" w:type="dxa"/>
            <w:vAlign w:val="bottom"/>
          </w:tcPr>
          <w:p>
            <w:pPr>
              <w:ind w:left="4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269,624</w:t>
            </w:r>
          </w:p>
        </w:tc>
        <w:tc>
          <w:tcPr>
            <w:tcW w:w="1140" w:type="dxa"/>
            <w:vAlign w:val="bottom"/>
          </w:tcPr>
          <w:p>
            <w:pPr>
              <w:jc w:val="center"/>
              <w:spacing w:after="0"/>
              <w:rPr>
                <w:sz w:val="20"/>
                <w:szCs w:val="20"/>
                <w:color w:val="auto"/>
              </w:rPr>
            </w:pPr>
            <w:r>
              <w:rPr>
                <w:rFonts w:ascii="Arial" w:cs="Arial" w:eastAsia="Arial" w:hAnsi="Arial"/>
                <w:sz w:val="14"/>
                <w:szCs w:val="14"/>
                <w:color w:val="auto"/>
              </w:rPr>
              <w:t>262,438</w:t>
            </w: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232,609</w:t>
            </w:r>
          </w:p>
        </w:tc>
        <w:tc>
          <w:tcPr>
            <w:tcW w:w="1160" w:type="dxa"/>
            <w:vAlign w:val="bottom"/>
          </w:tcPr>
          <w:p>
            <w:pPr>
              <w:jc w:val="center"/>
              <w:spacing w:after="0"/>
              <w:rPr>
                <w:sz w:val="20"/>
                <w:szCs w:val="20"/>
                <w:color w:val="auto"/>
              </w:rPr>
            </w:pPr>
            <w:r>
              <w:rPr>
                <w:rFonts w:ascii="Arial" w:cs="Arial" w:eastAsia="Arial" w:hAnsi="Arial"/>
                <w:sz w:val="14"/>
                <w:szCs w:val="14"/>
                <w:color w:val="auto"/>
              </w:rPr>
              <w:t>38,265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1,187,936</w:t>
            </w:r>
          </w:p>
        </w:tc>
        <w:tc>
          <w:tcPr>
            <w:tcW w:w="0" w:type="dxa"/>
            <w:vAlign w:val="bottom"/>
          </w:tcPr>
          <w:p>
            <w:pPr>
              <w:spacing w:after="0"/>
              <w:rPr>
                <w:sz w:val="1"/>
                <w:szCs w:val="1"/>
                <w:color w:val="auto"/>
              </w:rPr>
            </w:pPr>
          </w:p>
        </w:tc>
      </w:tr>
      <w:tr>
        <w:trPr>
          <w:trHeight w:val="189"/>
        </w:trPr>
        <w:tc>
          <w:tcPr>
            <w:tcW w:w="3280" w:type="dxa"/>
            <w:vAlign w:val="bottom"/>
          </w:tcPr>
          <w:p>
            <w:pPr>
              <w:ind w:left="100"/>
              <w:spacing w:after="0"/>
              <w:rPr>
                <w:sz w:val="20"/>
                <w:szCs w:val="20"/>
                <w:color w:val="auto"/>
              </w:rPr>
            </w:pPr>
            <w:r>
              <w:rPr>
                <w:rFonts w:ascii="Arial" w:cs="Arial" w:eastAsia="Arial" w:hAnsi="Arial"/>
                <w:sz w:val="14"/>
                <w:szCs w:val="14"/>
                <w:color w:val="auto"/>
              </w:rPr>
              <w:t>Executive Vice President &amp; Chief Banking Officer</w:t>
            </w:r>
          </w:p>
        </w:tc>
        <w:tc>
          <w:tcPr>
            <w:tcW w:w="480" w:type="dxa"/>
            <w:vAlign w:val="bottom"/>
          </w:tcPr>
          <w:p>
            <w:pPr>
              <w:ind w:left="80"/>
              <w:spacing w:after="0"/>
              <w:rPr>
                <w:sz w:val="20"/>
                <w:szCs w:val="20"/>
                <w:color w:val="auto"/>
              </w:rPr>
            </w:pPr>
            <w:r>
              <w:rPr>
                <w:rFonts w:ascii="Arial" w:cs="Arial" w:eastAsia="Arial" w:hAnsi="Arial"/>
                <w:sz w:val="14"/>
                <w:szCs w:val="14"/>
                <w:color w:val="auto"/>
              </w:rPr>
              <w:t>2019</w:t>
            </w:r>
          </w:p>
        </w:tc>
        <w:tc>
          <w:tcPr>
            <w:tcW w:w="980" w:type="dxa"/>
            <w:vAlign w:val="bottom"/>
          </w:tcPr>
          <w:p>
            <w:pPr>
              <w:ind w:left="220"/>
              <w:spacing w:after="0"/>
              <w:rPr>
                <w:sz w:val="20"/>
                <w:szCs w:val="20"/>
                <w:color w:val="auto"/>
              </w:rPr>
            </w:pPr>
            <w:r>
              <w:rPr>
                <w:rFonts w:ascii="Arial" w:cs="Arial" w:eastAsia="Arial" w:hAnsi="Arial"/>
                <w:sz w:val="14"/>
                <w:szCs w:val="14"/>
                <w:color w:val="auto"/>
              </w:rPr>
              <w:t>371,666</w:t>
            </w:r>
          </w:p>
        </w:tc>
        <w:tc>
          <w:tcPr>
            <w:tcW w:w="900" w:type="dxa"/>
            <w:vAlign w:val="bottom"/>
          </w:tcPr>
          <w:p>
            <w:pPr>
              <w:ind w:left="4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225,568</w:t>
            </w:r>
          </w:p>
        </w:tc>
        <w:tc>
          <w:tcPr>
            <w:tcW w:w="1140" w:type="dxa"/>
            <w:vAlign w:val="bottom"/>
          </w:tcPr>
          <w:p>
            <w:pPr>
              <w:jc w:val="center"/>
              <w:spacing w:after="0"/>
              <w:rPr>
                <w:sz w:val="20"/>
                <w:szCs w:val="20"/>
                <w:color w:val="auto"/>
              </w:rPr>
            </w:pPr>
            <w:r>
              <w:rPr>
                <w:rFonts w:ascii="Arial" w:cs="Arial" w:eastAsia="Arial" w:hAnsi="Arial"/>
                <w:sz w:val="14"/>
                <w:szCs w:val="14"/>
                <w:color w:val="auto"/>
              </w:rPr>
              <w:t>312,331</w:t>
            </w: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346,782</w:t>
            </w:r>
          </w:p>
        </w:tc>
        <w:tc>
          <w:tcPr>
            <w:tcW w:w="1160" w:type="dxa"/>
            <w:vAlign w:val="bottom"/>
          </w:tcPr>
          <w:p>
            <w:pPr>
              <w:jc w:val="center"/>
              <w:spacing w:after="0"/>
              <w:rPr>
                <w:sz w:val="20"/>
                <w:szCs w:val="20"/>
                <w:color w:val="auto"/>
              </w:rPr>
            </w:pPr>
            <w:r>
              <w:rPr>
                <w:rFonts w:ascii="Arial" w:cs="Arial" w:eastAsia="Arial" w:hAnsi="Arial"/>
                <w:sz w:val="14"/>
                <w:szCs w:val="14"/>
                <w:color w:val="auto"/>
              </w:rPr>
              <w:t>45,940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1,302,287</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2018</w:t>
            </w:r>
          </w:p>
        </w:tc>
        <w:tc>
          <w:tcPr>
            <w:tcW w:w="980" w:type="dxa"/>
            <w:vAlign w:val="bottom"/>
          </w:tcPr>
          <w:p>
            <w:pPr>
              <w:ind w:left="220"/>
              <w:spacing w:after="0"/>
              <w:rPr>
                <w:sz w:val="20"/>
                <w:szCs w:val="20"/>
                <w:color w:val="auto"/>
              </w:rPr>
            </w:pPr>
            <w:r>
              <w:rPr>
                <w:rFonts w:ascii="Arial" w:cs="Arial" w:eastAsia="Arial" w:hAnsi="Arial"/>
                <w:sz w:val="14"/>
                <w:szCs w:val="14"/>
                <w:color w:val="auto"/>
              </w:rPr>
              <w:t>315,625</w:t>
            </w:r>
          </w:p>
        </w:tc>
        <w:tc>
          <w:tcPr>
            <w:tcW w:w="900" w:type="dxa"/>
            <w:vAlign w:val="bottom"/>
          </w:tcPr>
          <w:p>
            <w:pPr>
              <w:ind w:left="4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146,279</w:t>
            </w:r>
          </w:p>
        </w:tc>
        <w:tc>
          <w:tcPr>
            <w:tcW w:w="1140" w:type="dxa"/>
            <w:vAlign w:val="bottom"/>
          </w:tcPr>
          <w:p>
            <w:pPr>
              <w:jc w:val="center"/>
              <w:spacing w:after="0"/>
              <w:rPr>
                <w:sz w:val="20"/>
                <w:szCs w:val="20"/>
                <w:color w:val="auto"/>
              </w:rPr>
            </w:pPr>
            <w:r>
              <w:rPr>
                <w:rFonts w:ascii="Arial" w:cs="Arial" w:eastAsia="Arial" w:hAnsi="Arial"/>
                <w:sz w:val="14"/>
                <w:szCs w:val="14"/>
                <w:color w:val="auto"/>
              </w:rPr>
              <w:t>173,453</w:t>
            </w:r>
          </w:p>
        </w:tc>
        <w:tc>
          <w:tcPr>
            <w:tcW w:w="1080" w:type="dxa"/>
            <w:vAlign w:val="bottom"/>
          </w:tcPr>
          <w:p>
            <w:pPr>
              <w:jc w:val="right"/>
              <w:ind w:right="229"/>
              <w:spacing w:after="0"/>
              <w:rPr>
                <w:sz w:val="20"/>
                <w:szCs w:val="20"/>
                <w:color w:val="auto"/>
              </w:rPr>
            </w:pPr>
            <w:r>
              <w:rPr>
                <w:rFonts w:ascii="Arial" w:cs="Arial" w:eastAsia="Arial" w:hAnsi="Arial"/>
                <w:sz w:val="14"/>
                <w:szCs w:val="14"/>
                <w:color w:val="auto"/>
              </w:rPr>
              <w:t>20,597</w:t>
            </w:r>
          </w:p>
        </w:tc>
        <w:tc>
          <w:tcPr>
            <w:tcW w:w="1160" w:type="dxa"/>
            <w:vAlign w:val="bottom"/>
          </w:tcPr>
          <w:p>
            <w:pPr>
              <w:jc w:val="center"/>
              <w:spacing w:after="0"/>
              <w:rPr>
                <w:sz w:val="20"/>
                <w:szCs w:val="20"/>
                <w:color w:val="auto"/>
              </w:rPr>
            </w:pPr>
            <w:r>
              <w:rPr>
                <w:rFonts w:ascii="Arial" w:cs="Arial" w:eastAsia="Arial" w:hAnsi="Arial"/>
                <w:sz w:val="14"/>
                <w:szCs w:val="14"/>
                <w:color w:val="auto"/>
              </w:rPr>
              <w:t>42,908</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698,862</w:t>
            </w:r>
          </w:p>
        </w:tc>
        <w:tc>
          <w:tcPr>
            <w:tcW w:w="0" w:type="dxa"/>
            <w:vAlign w:val="bottom"/>
          </w:tcPr>
          <w:p>
            <w:pPr>
              <w:spacing w:after="0"/>
              <w:rPr>
                <w:sz w:val="1"/>
                <w:szCs w:val="1"/>
                <w:color w:val="auto"/>
              </w:rPr>
            </w:pPr>
          </w:p>
        </w:tc>
      </w:tr>
      <w:tr>
        <w:trPr>
          <w:trHeight w:val="189"/>
        </w:trPr>
        <w:tc>
          <w:tcPr>
            <w:tcW w:w="3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b w:val="1"/>
                <w:bCs w:val="1"/>
                <w:color w:val="auto"/>
              </w:rPr>
              <w:t>Robert A. Edwards</w:t>
            </w:r>
          </w:p>
        </w:tc>
        <w:tc>
          <w:tcPr>
            <w:tcW w:w="48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2020</w:t>
            </w:r>
          </w:p>
        </w:tc>
        <w:tc>
          <w:tcPr>
            <w:tcW w:w="980" w:type="dxa"/>
            <w:vAlign w:val="bottom"/>
            <w:tcBorders>
              <w:right w:val="single" w:sz="8" w:color="E5E6E6"/>
            </w:tcBorders>
            <w:shd w:val="clear" w:color="auto" w:fill="E5E6E6"/>
          </w:tcPr>
          <w:p>
            <w:pPr>
              <w:ind w:left="220"/>
              <w:spacing w:after="0"/>
              <w:rPr>
                <w:sz w:val="20"/>
                <w:szCs w:val="20"/>
                <w:color w:val="auto"/>
              </w:rPr>
            </w:pPr>
            <w:r>
              <w:rPr>
                <w:rFonts w:ascii="Arial" w:cs="Arial" w:eastAsia="Arial" w:hAnsi="Arial"/>
                <w:sz w:val="14"/>
                <w:szCs w:val="14"/>
                <w:color w:val="auto"/>
              </w:rPr>
              <w:t>385,000</w:t>
            </w:r>
          </w:p>
        </w:tc>
        <w:tc>
          <w:tcPr>
            <w:tcW w:w="900" w:type="dxa"/>
            <w:vAlign w:val="bottom"/>
            <w:tcBorders>
              <w:right w:val="single" w:sz="8" w:color="E5E6E6"/>
            </w:tcBorders>
            <w:shd w:val="clear" w:color="auto" w:fill="E5E6E6"/>
          </w:tcPr>
          <w:p>
            <w:pPr>
              <w:ind w:left="42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269,624</w:t>
            </w:r>
          </w:p>
        </w:tc>
        <w:tc>
          <w:tcPr>
            <w:tcW w:w="11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228,000</w:t>
            </w:r>
          </w:p>
        </w:tc>
        <w:tc>
          <w:tcPr>
            <w:tcW w:w="108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157,233</w:t>
            </w:r>
          </w:p>
        </w:tc>
        <w:tc>
          <w:tcPr>
            <w:tcW w:w="11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31,250</w:t>
            </w:r>
          </w:p>
        </w:tc>
        <w:tc>
          <w:tcPr>
            <w:tcW w:w="1120" w:type="dxa"/>
            <w:vAlign w:val="bottom"/>
            <w:shd w:val="clear" w:color="auto" w:fill="E5E6E6"/>
          </w:tcPr>
          <w:p>
            <w:pPr>
              <w:jc w:val="right"/>
              <w:ind w:right="168"/>
              <w:spacing w:after="0"/>
              <w:rPr>
                <w:sz w:val="20"/>
                <w:szCs w:val="20"/>
                <w:color w:val="auto"/>
              </w:rPr>
            </w:pPr>
            <w:r>
              <w:rPr>
                <w:rFonts w:ascii="Arial" w:cs="Arial" w:eastAsia="Arial" w:hAnsi="Arial"/>
                <w:sz w:val="14"/>
                <w:szCs w:val="14"/>
                <w:color w:val="auto"/>
              </w:rPr>
              <w:t>1,071,107</w:t>
            </w:r>
          </w:p>
        </w:tc>
        <w:tc>
          <w:tcPr>
            <w:tcW w:w="0" w:type="dxa"/>
            <w:vAlign w:val="bottom"/>
          </w:tcPr>
          <w:p>
            <w:pPr>
              <w:spacing w:after="0"/>
              <w:rPr>
                <w:sz w:val="1"/>
                <w:szCs w:val="1"/>
                <w:color w:val="auto"/>
              </w:rPr>
            </w:pPr>
          </w:p>
        </w:tc>
      </w:tr>
      <w:tr>
        <w:trPr>
          <w:trHeight w:val="189"/>
        </w:trPr>
        <w:tc>
          <w:tcPr>
            <w:tcW w:w="328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Executive Vice President &amp; Chief Risk Officer</w:t>
            </w:r>
          </w:p>
        </w:tc>
        <w:tc>
          <w:tcPr>
            <w:tcW w:w="48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2019</w:t>
            </w:r>
          </w:p>
        </w:tc>
        <w:tc>
          <w:tcPr>
            <w:tcW w:w="980" w:type="dxa"/>
            <w:vAlign w:val="bottom"/>
            <w:tcBorders>
              <w:right w:val="single" w:sz="8" w:color="E5E6E6"/>
            </w:tcBorders>
            <w:shd w:val="clear" w:color="auto" w:fill="E5E6E6"/>
          </w:tcPr>
          <w:p>
            <w:pPr>
              <w:ind w:left="220"/>
              <w:spacing w:after="0"/>
              <w:rPr>
                <w:sz w:val="20"/>
                <w:szCs w:val="20"/>
                <w:color w:val="auto"/>
              </w:rPr>
            </w:pPr>
            <w:r>
              <w:rPr>
                <w:rFonts w:ascii="Arial" w:cs="Arial" w:eastAsia="Arial" w:hAnsi="Arial"/>
                <w:sz w:val="14"/>
                <w:szCs w:val="14"/>
                <w:color w:val="auto"/>
              </w:rPr>
              <w:t>373,750</w:t>
            </w:r>
          </w:p>
        </w:tc>
        <w:tc>
          <w:tcPr>
            <w:tcW w:w="900" w:type="dxa"/>
            <w:vAlign w:val="bottom"/>
            <w:tcBorders>
              <w:right w:val="single" w:sz="8" w:color="E5E6E6"/>
            </w:tcBorders>
            <w:shd w:val="clear" w:color="auto" w:fill="E5E6E6"/>
          </w:tcPr>
          <w:p>
            <w:pPr>
              <w:ind w:left="42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225,568</w:t>
            </w:r>
          </w:p>
        </w:tc>
        <w:tc>
          <w:tcPr>
            <w:tcW w:w="11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312,331</w:t>
            </w:r>
          </w:p>
        </w:tc>
        <w:tc>
          <w:tcPr>
            <w:tcW w:w="108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267,526</w:t>
            </w:r>
          </w:p>
        </w:tc>
        <w:tc>
          <w:tcPr>
            <w:tcW w:w="11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40,027</w:t>
            </w:r>
          </w:p>
        </w:tc>
        <w:tc>
          <w:tcPr>
            <w:tcW w:w="1120" w:type="dxa"/>
            <w:vAlign w:val="bottom"/>
            <w:shd w:val="clear" w:color="auto" w:fill="E5E6E6"/>
          </w:tcPr>
          <w:p>
            <w:pPr>
              <w:jc w:val="right"/>
              <w:ind w:right="168"/>
              <w:spacing w:after="0"/>
              <w:rPr>
                <w:sz w:val="20"/>
                <w:szCs w:val="20"/>
                <w:color w:val="auto"/>
              </w:rPr>
            </w:pPr>
            <w:r>
              <w:rPr>
                <w:rFonts w:ascii="Arial" w:cs="Arial" w:eastAsia="Arial" w:hAnsi="Arial"/>
                <w:sz w:val="14"/>
                <w:szCs w:val="14"/>
                <w:color w:val="auto"/>
              </w:rPr>
              <w:t>1,219,202</w:t>
            </w:r>
          </w:p>
        </w:tc>
        <w:tc>
          <w:tcPr>
            <w:tcW w:w="0" w:type="dxa"/>
            <w:vAlign w:val="bottom"/>
          </w:tcPr>
          <w:p>
            <w:pPr>
              <w:spacing w:after="0"/>
              <w:rPr>
                <w:sz w:val="1"/>
                <w:szCs w:val="1"/>
                <w:color w:val="auto"/>
              </w:rPr>
            </w:pPr>
          </w:p>
        </w:tc>
      </w:tr>
      <w:tr>
        <w:trPr>
          <w:trHeight w:val="189"/>
        </w:trPr>
        <w:tc>
          <w:tcPr>
            <w:tcW w:w="3280" w:type="dxa"/>
            <w:vAlign w:val="bottom"/>
            <w:tcBorders>
              <w:right w:val="single" w:sz="8" w:color="E5E6E6"/>
            </w:tcBorders>
            <w:shd w:val="clear" w:color="auto" w:fill="E5E6E6"/>
          </w:tcPr>
          <w:p>
            <w:pPr>
              <w:spacing w:after="0"/>
              <w:rPr>
                <w:sz w:val="16"/>
                <w:szCs w:val="16"/>
                <w:color w:val="auto"/>
              </w:rPr>
            </w:pPr>
          </w:p>
        </w:tc>
        <w:tc>
          <w:tcPr>
            <w:tcW w:w="480" w:type="dxa"/>
            <w:vAlign w:val="bottom"/>
            <w:tcBorders>
              <w:right w:val="single" w:sz="8" w:color="E5E6E6"/>
            </w:tcBorders>
            <w:shd w:val="clear" w:color="auto" w:fill="E5E6E6"/>
          </w:tcPr>
          <w:p>
            <w:pPr>
              <w:ind w:left="80"/>
              <w:spacing w:after="0"/>
              <w:rPr>
                <w:sz w:val="20"/>
                <w:szCs w:val="20"/>
                <w:color w:val="auto"/>
              </w:rPr>
            </w:pPr>
            <w:r>
              <w:rPr>
                <w:rFonts w:ascii="Arial" w:cs="Arial" w:eastAsia="Arial" w:hAnsi="Arial"/>
                <w:sz w:val="14"/>
                <w:szCs w:val="14"/>
                <w:color w:val="auto"/>
              </w:rPr>
              <w:t>2018</w:t>
            </w:r>
          </w:p>
        </w:tc>
        <w:tc>
          <w:tcPr>
            <w:tcW w:w="980" w:type="dxa"/>
            <w:vAlign w:val="bottom"/>
            <w:tcBorders>
              <w:right w:val="single" w:sz="8" w:color="E5E6E6"/>
            </w:tcBorders>
            <w:shd w:val="clear" w:color="auto" w:fill="E5E6E6"/>
          </w:tcPr>
          <w:p>
            <w:pPr>
              <w:ind w:left="220"/>
              <w:spacing w:after="0"/>
              <w:rPr>
                <w:sz w:val="20"/>
                <w:szCs w:val="20"/>
                <w:color w:val="auto"/>
              </w:rPr>
            </w:pPr>
            <w:r>
              <w:rPr>
                <w:rFonts w:ascii="Arial" w:cs="Arial" w:eastAsia="Arial" w:hAnsi="Arial"/>
                <w:sz w:val="14"/>
                <w:szCs w:val="14"/>
                <w:color w:val="auto"/>
              </w:rPr>
              <w:t>343,750</w:t>
            </w:r>
          </w:p>
        </w:tc>
        <w:tc>
          <w:tcPr>
            <w:tcW w:w="900" w:type="dxa"/>
            <w:vAlign w:val="bottom"/>
            <w:tcBorders>
              <w:right w:val="single" w:sz="8" w:color="E5E6E6"/>
            </w:tcBorders>
            <w:shd w:val="clear" w:color="auto" w:fill="E5E6E6"/>
          </w:tcPr>
          <w:p>
            <w:pPr>
              <w:ind w:left="420"/>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192,544</w:t>
            </w:r>
          </w:p>
        </w:tc>
        <w:tc>
          <w:tcPr>
            <w:tcW w:w="114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186,795</w:t>
            </w:r>
          </w:p>
        </w:tc>
        <w:tc>
          <w:tcPr>
            <w:tcW w:w="1080" w:type="dxa"/>
            <w:vAlign w:val="bottom"/>
            <w:tcBorders>
              <w:right w:val="single" w:sz="8" w:color="E5E6E6"/>
            </w:tcBorders>
            <w:shd w:val="clear" w:color="auto" w:fill="E5E6E6"/>
          </w:tcPr>
          <w:p>
            <w:pPr>
              <w:jc w:val="right"/>
              <w:ind w:right="229"/>
              <w:spacing w:after="0"/>
              <w:rPr>
                <w:sz w:val="20"/>
                <w:szCs w:val="20"/>
                <w:color w:val="auto"/>
              </w:rPr>
            </w:pPr>
            <w:r>
              <w:rPr>
                <w:rFonts w:ascii="Arial" w:cs="Arial" w:eastAsia="Arial" w:hAnsi="Arial"/>
                <w:sz w:val="14"/>
                <w:szCs w:val="14"/>
                <w:color w:val="auto"/>
              </w:rPr>
              <w:t>25,460</w:t>
            </w:r>
          </w:p>
        </w:tc>
        <w:tc>
          <w:tcPr>
            <w:tcW w:w="1160" w:type="dxa"/>
            <w:vAlign w:val="bottom"/>
            <w:tcBorders>
              <w:right w:val="single" w:sz="8" w:color="E5E6E6"/>
            </w:tcBorders>
            <w:shd w:val="clear" w:color="auto" w:fill="E5E6E6"/>
          </w:tcPr>
          <w:p>
            <w:pPr>
              <w:jc w:val="center"/>
              <w:spacing w:after="0"/>
              <w:rPr>
                <w:sz w:val="20"/>
                <w:szCs w:val="20"/>
                <w:color w:val="auto"/>
              </w:rPr>
            </w:pPr>
            <w:r>
              <w:rPr>
                <w:rFonts w:ascii="Arial" w:cs="Arial" w:eastAsia="Arial" w:hAnsi="Arial"/>
                <w:sz w:val="14"/>
                <w:szCs w:val="14"/>
                <w:color w:val="auto"/>
              </w:rPr>
              <w:t>28,250</w:t>
            </w:r>
          </w:p>
        </w:tc>
        <w:tc>
          <w:tcPr>
            <w:tcW w:w="1120" w:type="dxa"/>
            <w:vAlign w:val="bottom"/>
            <w:shd w:val="clear" w:color="auto" w:fill="E5E6E6"/>
          </w:tcPr>
          <w:p>
            <w:pPr>
              <w:jc w:val="right"/>
              <w:ind w:right="168"/>
              <w:spacing w:after="0"/>
              <w:rPr>
                <w:sz w:val="20"/>
                <w:szCs w:val="20"/>
                <w:color w:val="auto"/>
              </w:rPr>
            </w:pPr>
            <w:r>
              <w:rPr>
                <w:rFonts w:ascii="Arial" w:cs="Arial" w:eastAsia="Arial" w:hAnsi="Arial"/>
                <w:sz w:val="14"/>
                <w:szCs w:val="14"/>
                <w:color w:val="auto"/>
              </w:rPr>
              <w:t>776,799</w:t>
            </w:r>
          </w:p>
        </w:tc>
        <w:tc>
          <w:tcPr>
            <w:tcW w:w="0" w:type="dxa"/>
            <w:vAlign w:val="bottom"/>
          </w:tcPr>
          <w:p>
            <w:pPr>
              <w:spacing w:after="0"/>
              <w:rPr>
                <w:sz w:val="1"/>
                <w:szCs w:val="1"/>
                <w:color w:val="auto"/>
              </w:rPr>
            </w:pPr>
          </w:p>
        </w:tc>
      </w:tr>
      <w:tr>
        <w:trPr>
          <w:trHeight w:val="207"/>
        </w:trPr>
        <w:tc>
          <w:tcPr>
            <w:tcW w:w="3280" w:type="dxa"/>
            <w:vAlign w:val="bottom"/>
          </w:tcPr>
          <w:p>
            <w:pPr>
              <w:ind w:left="100"/>
              <w:spacing w:after="0" w:line="208" w:lineRule="exact"/>
              <w:rPr>
                <w:sz w:val="20"/>
                <w:szCs w:val="20"/>
                <w:color w:val="auto"/>
              </w:rPr>
            </w:pPr>
            <w:r>
              <w:rPr>
                <w:rFonts w:ascii="Arial" w:cs="Arial" w:eastAsia="Arial" w:hAnsi="Arial"/>
                <w:sz w:val="14"/>
                <w:szCs w:val="14"/>
                <w:b w:val="1"/>
                <w:bCs w:val="1"/>
                <w:color w:val="auto"/>
              </w:rPr>
              <w:t>Melinda Davis Lux</w:t>
            </w:r>
            <w:r>
              <w:rPr>
                <w:rFonts w:ascii="Arial" w:cs="Arial" w:eastAsia="Arial" w:hAnsi="Arial"/>
                <w:sz w:val="23"/>
                <w:szCs w:val="23"/>
                <w:b w:val="1"/>
                <w:bCs w:val="1"/>
                <w:color w:val="auto"/>
                <w:vertAlign w:val="superscript"/>
              </w:rPr>
              <w:t>2</w:t>
            </w:r>
          </w:p>
        </w:tc>
        <w:tc>
          <w:tcPr>
            <w:tcW w:w="480" w:type="dxa"/>
            <w:vAlign w:val="bottom"/>
          </w:tcPr>
          <w:p>
            <w:pPr>
              <w:ind w:left="80"/>
              <w:spacing w:after="0"/>
              <w:rPr>
                <w:sz w:val="20"/>
                <w:szCs w:val="20"/>
                <w:color w:val="auto"/>
              </w:rPr>
            </w:pPr>
            <w:r>
              <w:rPr>
                <w:rFonts w:ascii="Arial" w:cs="Arial" w:eastAsia="Arial" w:hAnsi="Arial"/>
                <w:sz w:val="14"/>
                <w:szCs w:val="14"/>
                <w:color w:val="auto"/>
              </w:rPr>
              <w:t>2020</w:t>
            </w:r>
          </w:p>
        </w:tc>
        <w:tc>
          <w:tcPr>
            <w:tcW w:w="980" w:type="dxa"/>
            <w:vAlign w:val="bottom"/>
          </w:tcPr>
          <w:p>
            <w:pPr>
              <w:ind w:left="220"/>
              <w:spacing w:after="0" w:line="208" w:lineRule="exact"/>
              <w:rPr>
                <w:sz w:val="20"/>
                <w:szCs w:val="20"/>
                <w:color w:val="auto"/>
              </w:rPr>
            </w:pPr>
            <w:r>
              <w:rPr>
                <w:rFonts w:ascii="Arial" w:cs="Arial" w:eastAsia="Arial" w:hAnsi="Arial"/>
                <w:sz w:val="14"/>
                <w:szCs w:val="14"/>
                <w:color w:val="auto"/>
              </w:rPr>
              <w:t>272,083</w:t>
            </w:r>
            <w:r>
              <w:rPr>
                <w:rFonts w:ascii="Arial" w:cs="Arial" w:eastAsia="Arial" w:hAnsi="Arial"/>
                <w:sz w:val="23"/>
                <w:szCs w:val="23"/>
                <w:color w:val="auto"/>
                <w:vertAlign w:val="superscript"/>
              </w:rPr>
              <w:t>8</w:t>
            </w:r>
          </w:p>
        </w:tc>
        <w:tc>
          <w:tcPr>
            <w:tcW w:w="900" w:type="dxa"/>
            <w:vAlign w:val="bottom"/>
          </w:tcPr>
          <w:p>
            <w:pPr>
              <w:ind w:left="420"/>
              <w:spacing w:after="0" w:line="208" w:lineRule="exact"/>
              <w:rPr>
                <w:sz w:val="20"/>
                <w:szCs w:val="20"/>
                <w:color w:val="auto"/>
              </w:rPr>
            </w:pPr>
            <w:r>
              <w:rPr>
                <w:rFonts w:ascii="Arial" w:cs="Arial" w:eastAsia="Arial" w:hAnsi="Arial"/>
                <w:sz w:val="14"/>
                <w:szCs w:val="14"/>
                <w:color w:val="auto"/>
              </w:rPr>
              <w:t xml:space="preserve">- </w:t>
            </w:r>
            <w:r>
              <w:rPr>
                <w:rFonts w:ascii="Arial" w:cs="Arial" w:eastAsia="Arial" w:hAnsi="Arial"/>
                <w:sz w:val="23"/>
                <w:szCs w:val="23"/>
                <w:color w:val="auto"/>
                <w:vertAlign w:val="superscript"/>
              </w:rPr>
              <w:t>9</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295,098</w:t>
            </w:r>
          </w:p>
        </w:tc>
        <w:tc>
          <w:tcPr>
            <w:tcW w:w="1140" w:type="dxa"/>
            <w:vAlign w:val="bottom"/>
          </w:tcPr>
          <w:p>
            <w:pPr>
              <w:jc w:val="center"/>
              <w:spacing w:after="0"/>
              <w:rPr>
                <w:sz w:val="20"/>
                <w:szCs w:val="20"/>
                <w:color w:val="auto"/>
              </w:rPr>
            </w:pPr>
            <w:r>
              <w:rPr>
                <w:rFonts w:ascii="Arial" w:cs="Arial" w:eastAsia="Arial" w:hAnsi="Arial"/>
                <w:sz w:val="14"/>
                <w:szCs w:val="14"/>
                <w:color w:val="auto"/>
              </w:rPr>
              <w:t>182,875</w:t>
            </w:r>
          </w:p>
        </w:tc>
        <w:tc>
          <w:tcPr>
            <w:tcW w:w="1080" w:type="dxa"/>
            <w:vAlign w:val="bottom"/>
          </w:tcPr>
          <w:p>
            <w:pPr>
              <w:jc w:val="right"/>
              <w:ind w:right="9"/>
              <w:spacing w:after="0" w:line="20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1"/>
                <w:szCs w:val="11"/>
                <w:color w:val="auto"/>
              </w:rPr>
              <w:t xml:space="preserve"> 10</w:t>
            </w:r>
          </w:p>
        </w:tc>
        <w:tc>
          <w:tcPr>
            <w:tcW w:w="11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750,056</w:t>
            </w:r>
          </w:p>
        </w:tc>
        <w:tc>
          <w:tcPr>
            <w:tcW w:w="0" w:type="dxa"/>
            <w:vAlign w:val="bottom"/>
          </w:tcPr>
          <w:p>
            <w:pPr>
              <w:spacing w:after="0"/>
              <w:rPr>
                <w:sz w:val="1"/>
                <w:szCs w:val="1"/>
                <w:color w:val="auto"/>
              </w:rPr>
            </w:pPr>
          </w:p>
        </w:tc>
      </w:tr>
      <w:tr>
        <w:trPr>
          <w:trHeight w:val="162"/>
        </w:trPr>
        <w:tc>
          <w:tcPr>
            <w:tcW w:w="3280" w:type="dxa"/>
            <w:vAlign w:val="bottom"/>
          </w:tcPr>
          <w:p>
            <w:pPr>
              <w:ind w:left="100"/>
              <w:spacing w:after="0"/>
              <w:rPr>
                <w:sz w:val="20"/>
                <w:szCs w:val="20"/>
                <w:color w:val="auto"/>
              </w:rPr>
            </w:pPr>
            <w:r>
              <w:rPr>
                <w:rFonts w:ascii="Arial" w:cs="Arial" w:eastAsia="Arial" w:hAnsi="Arial"/>
                <w:sz w:val="14"/>
                <w:szCs w:val="14"/>
                <w:color w:val="auto"/>
              </w:rPr>
              <w:t>Executive Vice President &amp; General Counsel and</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Borders>
              <w:bottom w:val="single" w:sz="8" w:color="E5E6E6"/>
            </w:tcBorders>
          </w:tcPr>
          <w:p>
            <w:pPr>
              <w:ind w:left="100"/>
              <w:spacing w:after="0"/>
              <w:rPr>
                <w:sz w:val="20"/>
                <w:szCs w:val="20"/>
                <w:color w:val="auto"/>
              </w:rPr>
            </w:pPr>
            <w:r>
              <w:rPr>
                <w:rFonts w:ascii="Arial" w:cs="Arial" w:eastAsia="Arial" w:hAnsi="Arial"/>
                <w:sz w:val="14"/>
                <w:szCs w:val="14"/>
                <w:color w:val="auto"/>
              </w:rPr>
              <w:t>Corporate Secretary</w:t>
            </w:r>
          </w:p>
        </w:tc>
        <w:tc>
          <w:tcPr>
            <w:tcW w:w="480" w:type="dxa"/>
            <w:vAlign w:val="bottom"/>
            <w:tcBorders>
              <w:bottom w:val="single" w:sz="8" w:color="E5E6E6"/>
            </w:tcBorders>
          </w:tcPr>
          <w:p>
            <w:pPr>
              <w:spacing w:after="0"/>
              <w:rPr>
                <w:sz w:val="15"/>
                <w:szCs w:val="15"/>
                <w:color w:val="auto"/>
              </w:rPr>
            </w:pPr>
          </w:p>
        </w:tc>
        <w:tc>
          <w:tcPr>
            <w:tcW w:w="980" w:type="dxa"/>
            <w:vAlign w:val="bottom"/>
            <w:tcBorders>
              <w:bottom w:val="single" w:sz="8" w:color="E5E6E6"/>
            </w:tcBorders>
          </w:tcPr>
          <w:p>
            <w:pPr>
              <w:spacing w:after="0"/>
              <w:rPr>
                <w:sz w:val="15"/>
                <w:szCs w:val="15"/>
                <w:color w:val="auto"/>
              </w:rPr>
            </w:pPr>
          </w:p>
        </w:tc>
        <w:tc>
          <w:tcPr>
            <w:tcW w:w="900" w:type="dxa"/>
            <w:vAlign w:val="bottom"/>
            <w:tcBorders>
              <w:bottom w:val="single" w:sz="8" w:color="E5E6E6"/>
            </w:tcBorders>
          </w:tcPr>
          <w:p>
            <w:pPr>
              <w:spacing w:after="0"/>
              <w:rPr>
                <w:sz w:val="15"/>
                <w:szCs w:val="15"/>
                <w:color w:val="auto"/>
              </w:rPr>
            </w:pPr>
          </w:p>
        </w:tc>
        <w:tc>
          <w:tcPr>
            <w:tcW w:w="1100" w:type="dxa"/>
            <w:vAlign w:val="bottom"/>
            <w:tcBorders>
              <w:bottom w:val="single" w:sz="8" w:color="E5E6E6"/>
            </w:tcBorders>
          </w:tcPr>
          <w:p>
            <w:pPr>
              <w:spacing w:after="0"/>
              <w:rPr>
                <w:sz w:val="15"/>
                <w:szCs w:val="15"/>
                <w:color w:val="auto"/>
              </w:rPr>
            </w:pPr>
          </w:p>
        </w:tc>
        <w:tc>
          <w:tcPr>
            <w:tcW w:w="1140" w:type="dxa"/>
            <w:vAlign w:val="bottom"/>
            <w:tcBorders>
              <w:bottom w:val="single" w:sz="8" w:color="E5E6E6"/>
            </w:tcBorders>
          </w:tcPr>
          <w:p>
            <w:pPr>
              <w:spacing w:after="0"/>
              <w:rPr>
                <w:sz w:val="15"/>
                <w:szCs w:val="15"/>
                <w:color w:val="auto"/>
              </w:rPr>
            </w:pPr>
          </w:p>
        </w:tc>
        <w:tc>
          <w:tcPr>
            <w:tcW w:w="1080" w:type="dxa"/>
            <w:vAlign w:val="bottom"/>
            <w:tcBorders>
              <w:bottom w:val="single" w:sz="8" w:color="E5E6E6"/>
            </w:tcBorders>
          </w:tcPr>
          <w:p>
            <w:pPr>
              <w:spacing w:after="0"/>
              <w:rPr>
                <w:sz w:val="15"/>
                <w:szCs w:val="15"/>
                <w:color w:val="auto"/>
              </w:rPr>
            </w:pPr>
          </w:p>
        </w:tc>
        <w:tc>
          <w:tcPr>
            <w:tcW w:w="1160" w:type="dxa"/>
            <w:vAlign w:val="bottom"/>
            <w:tcBorders>
              <w:bottom w:val="single" w:sz="8" w:color="E5E6E6"/>
            </w:tcBorders>
          </w:tcPr>
          <w:p>
            <w:pPr>
              <w:spacing w:after="0"/>
              <w:rPr>
                <w:sz w:val="15"/>
                <w:szCs w:val="15"/>
                <w:color w:val="auto"/>
              </w:rPr>
            </w:pPr>
          </w:p>
        </w:tc>
        <w:tc>
          <w:tcPr>
            <w:tcW w:w="1120" w:type="dxa"/>
            <w:vAlign w:val="bottom"/>
            <w:tcBorders>
              <w:bottom w:val="single" w:sz="8" w:color="E5E6E6"/>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Reflects current principal positions.</w:t>
      </w:r>
    </w:p>
    <w:p>
      <w:pPr>
        <w:ind w:left="140" w:hanging="132"/>
        <w:spacing w:after="0" w:line="187" w:lineRule="auto"/>
        <w:tabs>
          <w:tab w:leader="none" w:pos="140" w:val="left"/>
        </w:tabs>
        <w:numPr>
          <w:ilvl w:val="0"/>
          <w:numId w:val="44"/>
        </w:numPr>
        <w:rPr>
          <w:rFonts w:ascii="Arial" w:cs="Arial" w:eastAsia="Arial" w:hAnsi="Arial"/>
          <w:sz w:val="18"/>
          <w:szCs w:val="18"/>
          <w:color w:val="auto"/>
          <w:vertAlign w:val="superscript"/>
        </w:rPr>
      </w:pPr>
      <w:r>
        <w:rPr>
          <w:rFonts w:ascii="Arial" w:cs="Arial" w:eastAsia="Arial" w:hAnsi="Arial"/>
          <w:sz w:val="12"/>
          <w:szCs w:val="12"/>
          <w:color w:val="auto"/>
        </w:rPr>
        <w:t>Ms. Davis Lux joined United in March 2020.</w:t>
      </w:r>
    </w:p>
    <w:p>
      <w:pPr>
        <w:ind w:left="140" w:hanging="132"/>
        <w:spacing w:after="0" w:line="188" w:lineRule="auto"/>
        <w:tabs>
          <w:tab w:leader="none" w:pos="140" w:val="left"/>
        </w:tabs>
        <w:numPr>
          <w:ilvl w:val="0"/>
          <w:numId w:val="45"/>
        </w:numPr>
        <w:rPr>
          <w:rFonts w:ascii="Arial" w:cs="Arial" w:eastAsia="Arial" w:hAnsi="Arial"/>
          <w:sz w:val="18"/>
          <w:szCs w:val="18"/>
          <w:color w:val="auto"/>
          <w:vertAlign w:val="superscript"/>
        </w:rPr>
      </w:pPr>
      <w:r>
        <w:rPr>
          <w:rFonts w:ascii="Arial" w:cs="Arial" w:eastAsia="Arial" w:hAnsi="Arial"/>
          <w:sz w:val="12"/>
          <w:szCs w:val="12"/>
          <w:color w:val="auto"/>
        </w:rPr>
        <w:t>Includes any amounts voluntarily deferred under our Deferred Compensation Plan. See Nonqualified Deferred Compensation.</w:t>
      </w:r>
    </w:p>
    <w:p>
      <w:pPr>
        <w:spacing w:after="0" w:line="19" w:lineRule="exact"/>
        <w:rPr>
          <w:sz w:val="20"/>
          <w:szCs w:val="20"/>
          <w:color w:val="auto"/>
        </w:rPr>
      </w:pPr>
    </w:p>
    <w:p>
      <w:pPr>
        <w:ind w:left="140" w:right="100" w:hanging="132"/>
        <w:spacing w:after="0" w:line="213" w:lineRule="auto"/>
        <w:tabs>
          <w:tab w:leader="none" w:pos="14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Amounts shown reflect the aggregate grant date fair value of restricted stock units computed in accordance with FASB ASC Topic 718. See Note 16 of our annual consolidated financial statements included our Annual Report on Form 10-K for the year ended December 31, 2020, filed with the SEC on February 25, 2021 for a discussion of valuation assumptions. Awards that are subject to performance conditions are included in the Summary Compensation Table assuming that target level performance conditions will be achieved. The following table summarizes the value of the awards subject to performance conditions at the grant date assuming that the highest level of performance conditions is achieved: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20" w:type="dxa"/>
            <w:vAlign w:val="bottom"/>
            <w:tcBorders>
              <w:right w:val="single" w:sz="8" w:color="E5E6E6"/>
            </w:tcBorders>
            <w:shd w:val="clear" w:color="auto" w:fill="1077A9"/>
          </w:tcPr>
          <w:p>
            <w:pPr>
              <w:spacing w:after="0"/>
              <w:rPr>
                <w:sz w:val="19"/>
                <w:szCs w:val="19"/>
                <w:color w:val="auto"/>
              </w:rPr>
            </w:pPr>
          </w:p>
        </w:tc>
        <w:tc>
          <w:tcPr>
            <w:tcW w:w="222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Grant Date Fair Value of Stock</w:t>
            </w:r>
          </w:p>
        </w:tc>
        <w:tc>
          <w:tcPr>
            <w:tcW w:w="0" w:type="dxa"/>
            <w:vAlign w:val="bottom"/>
          </w:tcPr>
          <w:p>
            <w:pPr>
              <w:spacing w:after="0"/>
              <w:rPr>
                <w:sz w:val="1"/>
                <w:szCs w:val="1"/>
                <w:color w:val="auto"/>
              </w:rPr>
            </w:pPr>
          </w:p>
        </w:tc>
      </w:tr>
      <w:tr>
        <w:trPr>
          <w:trHeight w:val="162"/>
        </w:trPr>
        <w:tc>
          <w:tcPr>
            <w:tcW w:w="9020" w:type="dxa"/>
            <w:vAlign w:val="bottom"/>
            <w:tcBorders>
              <w:right w:val="single" w:sz="8" w:color="E5E6E6"/>
            </w:tcBorders>
            <w:vMerge w:val="restart"/>
            <w:shd w:val="clear" w:color="auto" w:fill="1077A9"/>
          </w:tcPr>
          <w:p>
            <w:pPr>
              <w:ind w:left="100"/>
              <w:spacing w:after="0"/>
              <w:rPr>
                <w:sz w:val="20"/>
                <w:szCs w:val="20"/>
                <w:color w:val="auto"/>
              </w:rPr>
            </w:pPr>
            <w:r>
              <w:rPr>
                <w:rFonts w:ascii="Arial" w:cs="Arial" w:eastAsia="Arial" w:hAnsi="Arial"/>
                <w:sz w:val="14"/>
                <w:szCs w:val="14"/>
                <w:color w:val="FFFFFF"/>
              </w:rPr>
              <w:t>Name</w:t>
            </w:r>
          </w:p>
        </w:tc>
        <w:tc>
          <w:tcPr>
            <w:tcW w:w="2220" w:type="dxa"/>
            <w:vAlign w:val="bottom"/>
            <w:shd w:val="clear" w:color="auto" w:fill="1077A9"/>
          </w:tcPr>
          <w:p>
            <w:pPr>
              <w:ind w:left="300"/>
              <w:spacing w:after="0"/>
              <w:rPr>
                <w:sz w:val="20"/>
                <w:szCs w:val="20"/>
                <w:color w:val="auto"/>
              </w:rPr>
            </w:pPr>
            <w:r>
              <w:rPr>
                <w:rFonts w:ascii="Arial" w:cs="Arial" w:eastAsia="Arial" w:hAnsi="Arial"/>
                <w:sz w:val="14"/>
                <w:szCs w:val="14"/>
                <w:color w:val="FFFFFF"/>
              </w:rPr>
              <w:t>Awards: Highest Level of</w:t>
            </w:r>
          </w:p>
        </w:tc>
        <w:tc>
          <w:tcPr>
            <w:tcW w:w="0" w:type="dxa"/>
            <w:vAlign w:val="bottom"/>
          </w:tcPr>
          <w:p>
            <w:pPr>
              <w:spacing w:after="0"/>
              <w:rPr>
                <w:sz w:val="1"/>
                <w:szCs w:val="1"/>
                <w:color w:val="auto"/>
              </w:rPr>
            </w:pPr>
          </w:p>
        </w:tc>
      </w:tr>
      <w:tr>
        <w:trPr>
          <w:trHeight w:val="91"/>
        </w:trPr>
        <w:tc>
          <w:tcPr>
            <w:tcW w:w="9020" w:type="dxa"/>
            <w:vAlign w:val="bottom"/>
            <w:tcBorders>
              <w:right w:val="single" w:sz="8" w:color="E5E6E6"/>
            </w:tcBorders>
            <w:vMerge w:val="continue"/>
            <w:shd w:val="clear" w:color="auto" w:fill="1077A9"/>
          </w:tcPr>
          <w:p>
            <w:pPr>
              <w:spacing w:after="0"/>
              <w:rPr>
                <w:sz w:val="7"/>
                <w:szCs w:val="7"/>
                <w:color w:val="auto"/>
              </w:rPr>
            </w:pPr>
          </w:p>
        </w:tc>
        <w:tc>
          <w:tcPr>
            <w:tcW w:w="222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Performance Conditions Achieved</w:t>
            </w:r>
          </w:p>
        </w:tc>
        <w:tc>
          <w:tcPr>
            <w:tcW w:w="0" w:type="dxa"/>
            <w:vAlign w:val="bottom"/>
          </w:tcPr>
          <w:p>
            <w:pPr>
              <w:spacing w:after="0"/>
              <w:rPr>
                <w:sz w:val="1"/>
                <w:szCs w:val="1"/>
                <w:color w:val="auto"/>
              </w:rPr>
            </w:pPr>
          </w:p>
        </w:tc>
      </w:tr>
      <w:tr>
        <w:trPr>
          <w:trHeight w:val="71"/>
        </w:trPr>
        <w:tc>
          <w:tcPr>
            <w:tcW w:w="9020" w:type="dxa"/>
            <w:vAlign w:val="bottom"/>
            <w:tcBorders>
              <w:right w:val="single" w:sz="8" w:color="E5E6E6"/>
            </w:tcBorders>
            <w:shd w:val="clear" w:color="auto" w:fill="1077A9"/>
          </w:tcPr>
          <w:p>
            <w:pPr>
              <w:spacing w:after="0"/>
              <w:rPr>
                <w:sz w:val="6"/>
                <w:szCs w:val="6"/>
                <w:color w:val="auto"/>
              </w:rPr>
            </w:pPr>
          </w:p>
        </w:tc>
        <w:tc>
          <w:tcPr>
            <w:tcW w:w="2220" w:type="dxa"/>
            <w:vAlign w:val="bottom"/>
            <w:vMerge w:val="continue"/>
            <w:shd w:val="clear" w:color="auto" w:fill="1077A9"/>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9020" w:type="dxa"/>
            <w:vAlign w:val="bottom"/>
            <w:tcBorders>
              <w:right w:val="single" w:sz="8" w:color="E5E6E6"/>
            </w:tcBorders>
            <w:shd w:val="clear" w:color="auto" w:fill="1077A9"/>
          </w:tcPr>
          <w:p>
            <w:pPr>
              <w:spacing w:after="0"/>
              <w:rPr>
                <w:sz w:val="14"/>
                <w:szCs w:val="14"/>
                <w:color w:val="auto"/>
              </w:rPr>
            </w:pPr>
          </w:p>
        </w:tc>
        <w:tc>
          <w:tcPr>
            <w:tcW w:w="222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39"/>
        </w:trPr>
        <w:tc>
          <w:tcPr>
            <w:tcW w:w="9020" w:type="dxa"/>
            <w:vAlign w:val="bottom"/>
            <w:tcBorders>
              <w:right w:val="single" w:sz="8" w:color="E5E6E6"/>
            </w:tcBorders>
            <w:shd w:val="clear" w:color="auto" w:fill="1077A9"/>
          </w:tcPr>
          <w:p>
            <w:pPr>
              <w:spacing w:after="0"/>
              <w:rPr>
                <w:sz w:val="3"/>
                <w:szCs w:val="3"/>
                <w:color w:val="auto"/>
              </w:rPr>
            </w:pPr>
          </w:p>
        </w:tc>
        <w:tc>
          <w:tcPr>
            <w:tcW w:w="2220" w:type="dxa"/>
            <w:vAlign w:val="bottom"/>
            <w:shd w:val="clear" w:color="auto" w:fill="1077A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5420" w:type="dxa"/>
            <w:vAlign w:val="bottom"/>
          </w:tcPr>
          <w:p>
            <w:pPr>
              <w:jc w:val="right"/>
              <w:ind w:right="288"/>
              <w:spacing w:after="0"/>
              <w:rPr>
                <w:sz w:val="20"/>
                <w:szCs w:val="20"/>
                <w:color w:val="auto"/>
              </w:rPr>
            </w:pPr>
            <w:r>
              <w:rPr>
                <w:rFonts w:ascii="Arial" w:cs="Arial" w:eastAsia="Arial" w:hAnsi="Arial"/>
                <w:sz w:val="14"/>
                <w:szCs w:val="14"/>
                <w:color w:val="auto"/>
              </w:rPr>
              <w:t>$ 1,017,773</w:t>
            </w:r>
          </w:p>
        </w:tc>
      </w:tr>
      <w:tr>
        <w:trPr>
          <w:trHeight w:val="189"/>
        </w:trPr>
        <w:tc>
          <w:tcPr>
            <w:tcW w:w="5820" w:type="dxa"/>
            <w:vAlign w:val="bottom"/>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54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386,101</w:t>
            </w:r>
          </w:p>
        </w:tc>
      </w:tr>
      <w:tr>
        <w:trPr>
          <w:trHeight w:val="189"/>
        </w:trPr>
        <w:tc>
          <w:tcPr>
            <w:tcW w:w="582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5420" w:type="dxa"/>
            <w:vAlign w:val="bottom"/>
          </w:tcPr>
          <w:p>
            <w:pPr>
              <w:jc w:val="right"/>
              <w:ind w:right="288"/>
              <w:spacing w:after="0"/>
              <w:rPr>
                <w:sz w:val="20"/>
                <w:szCs w:val="20"/>
                <w:color w:val="auto"/>
              </w:rPr>
            </w:pPr>
            <w:r>
              <w:rPr>
                <w:rFonts w:ascii="Arial" w:cs="Arial" w:eastAsia="Arial" w:hAnsi="Arial"/>
                <w:sz w:val="14"/>
                <w:szCs w:val="14"/>
                <w:color w:val="auto"/>
              </w:rPr>
              <w:t>303,360</w:t>
            </w:r>
          </w:p>
        </w:tc>
      </w:tr>
      <w:tr>
        <w:trPr>
          <w:trHeight w:val="189"/>
        </w:trPr>
        <w:tc>
          <w:tcPr>
            <w:tcW w:w="5820" w:type="dxa"/>
            <w:vAlign w:val="bottom"/>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542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303,360</w:t>
            </w:r>
          </w:p>
        </w:tc>
      </w:tr>
      <w:tr>
        <w:trPr>
          <w:trHeight w:val="196"/>
        </w:trPr>
        <w:tc>
          <w:tcPr>
            <w:tcW w:w="5820" w:type="dxa"/>
            <w:vAlign w:val="bottom"/>
            <w:tcBorders>
              <w:bottom w:val="single" w:sz="8" w:color="E5E6E6"/>
            </w:tcBorders>
          </w:tcPr>
          <w:p>
            <w:pPr>
              <w:ind w:left="100"/>
              <w:spacing w:after="0"/>
              <w:rPr>
                <w:sz w:val="20"/>
                <w:szCs w:val="20"/>
                <w:color w:val="auto"/>
              </w:rPr>
            </w:pPr>
            <w:r>
              <w:rPr>
                <w:rFonts w:ascii="Arial" w:cs="Arial" w:eastAsia="Arial" w:hAnsi="Arial"/>
                <w:sz w:val="14"/>
                <w:szCs w:val="14"/>
                <w:color w:val="auto"/>
              </w:rPr>
              <w:t>Melinda Davis Lux</w:t>
            </w:r>
          </w:p>
        </w:tc>
        <w:tc>
          <w:tcPr>
            <w:tcW w:w="5420" w:type="dxa"/>
            <w:vAlign w:val="bottom"/>
            <w:tcBorders>
              <w:bottom w:val="single" w:sz="8" w:color="E5E6E6"/>
            </w:tcBorders>
          </w:tcPr>
          <w:p>
            <w:pPr>
              <w:jc w:val="right"/>
              <w:ind w:right="288"/>
              <w:spacing w:after="0"/>
              <w:rPr>
                <w:sz w:val="20"/>
                <w:szCs w:val="20"/>
                <w:color w:val="auto"/>
              </w:rPr>
            </w:pPr>
            <w:r>
              <w:rPr>
                <w:rFonts w:ascii="Arial" w:cs="Arial" w:eastAsia="Arial" w:hAnsi="Arial"/>
                <w:sz w:val="14"/>
                <w:szCs w:val="14"/>
                <w:color w:val="auto"/>
              </w:rPr>
              <w:t>256,109</w:t>
            </w:r>
          </w:p>
        </w:tc>
      </w:tr>
    </w:tbl>
    <w:p>
      <w:pPr>
        <w:spacing w:after="0" w:line="144"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Represents amount awarded under our Management Incentive Plan. See Executive Compensation: Compensation Discussion and Analysis: 2020 Executive Compensation</w:t>
      </w:r>
    </w:p>
    <w:p>
      <w:pPr>
        <w:spacing w:after="0" w:line="152" w:lineRule="exact"/>
        <w:rPr>
          <w:sz w:val="20"/>
          <w:szCs w:val="20"/>
          <w:color w:val="auto"/>
        </w:rPr>
      </w:pPr>
    </w:p>
    <w:p>
      <w:pPr>
        <w:ind w:left="180" w:right="20" w:hanging="172"/>
        <w:spacing w:after="0" w:line="195" w:lineRule="auto"/>
        <w:tabs>
          <w:tab w:leader="none" w:pos="18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Represents the change in the actuarial present value of the NEO’s accumulated benefits under the Modified Retirement Plan. For this purpose, in accordance with SEC rules, the present value was determined assuming no preretirement death, disability or termination prior to retirement and that benefits commence at the later of current age or the earliest age at which unreduced benefits are available. Other assumptions are those applicable for valuing pension benefits for purposes of our financial statements, including</w:t>
      </w:r>
    </w:p>
    <w:p>
      <w:pPr>
        <w:ind w:left="180" w:right="120"/>
        <w:spacing w:after="0" w:line="235" w:lineRule="auto"/>
        <w:rPr>
          <w:sz w:val="20"/>
          <w:szCs w:val="20"/>
          <w:color w:val="auto"/>
        </w:rPr>
      </w:pPr>
      <w:r>
        <w:rPr>
          <w:rFonts w:ascii="Arial" w:cs="Arial" w:eastAsia="Arial" w:hAnsi="Arial"/>
          <w:sz w:val="14"/>
          <w:szCs w:val="14"/>
          <w:color w:val="auto"/>
        </w:rPr>
        <w:t>a discount rate of 2.55% and postretirement mortality rates based on aggregate 2012 base rates from the PRI-2012 mortality study, with white collar adjustment projected generationally using Scale MP-2020. See Compensation Discussion and Analysis: 2020 Executive Compensation Components: Retirement and Other Benefits and Pension Benefits for additional information. The 2020 change in actuarial present value reflects an additional year of service rendered by participants, age increases reflecting that each participant is one year closer to retirement and changes in key actuarial assumptions, principally, discount rate assumptions and mortality assumptions. Our Deferred Compensation Plan does not credit above-market or preferential earnings.</w:t>
      </w:r>
    </w:p>
    <w:p>
      <w:pPr>
        <w:ind w:left="180" w:hanging="172"/>
        <w:spacing w:after="0" w:line="184" w:lineRule="auto"/>
        <w:tabs>
          <w:tab w:leader="none" w:pos="180" w:val="left"/>
        </w:tabs>
        <w:numPr>
          <w:ilvl w:val="0"/>
          <w:numId w:val="49"/>
        </w:numPr>
        <w:rPr>
          <w:rFonts w:ascii="Arial" w:cs="Arial" w:eastAsia="Arial" w:hAnsi="Arial"/>
          <w:sz w:val="22"/>
          <w:szCs w:val="22"/>
          <w:color w:val="auto"/>
          <w:vertAlign w:val="superscript"/>
        </w:rPr>
      </w:pPr>
      <w:r>
        <w:rPr>
          <w:rFonts w:ascii="Arial" w:cs="Arial" w:eastAsia="Arial" w:hAnsi="Arial"/>
          <w:sz w:val="13"/>
          <w:szCs w:val="13"/>
          <w:color w:val="auto"/>
        </w:rPr>
        <w:t>The amounts in this column include the following for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40" w:type="dxa"/>
            <w:vAlign w:val="bottom"/>
            <w:tcBorders>
              <w:right w:val="single" w:sz="8" w:color="E5E6E6"/>
            </w:tcBorders>
            <w:shd w:val="clear" w:color="auto" w:fill="1077A9"/>
          </w:tcPr>
          <w:p>
            <w:pPr>
              <w:spacing w:after="0"/>
              <w:rPr>
                <w:sz w:val="19"/>
                <w:szCs w:val="19"/>
                <w:color w:val="auto"/>
              </w:rPr>
            </w:pPr>
          </w:p>
        </w:tc>
        <w:tc>
          <w:tcPr>
            <w:tcW w:w="1700" w:type="dxa"/>
            <w:vAlign w:val="bottom"/>
            <w:tcBorders>
              <w:right w:val="single" w:sz="8" w:color="E5E6E6"/>
            </w:tcBorders>
            <w:shd w:val="clear" w:color="auto" w:fill="1077A9"/>
          </w:tcPr>
          <w:p>
            <w:pPr>
              <w:spacing w:after="0"/>
              <w:rPr>
                <w:sz w:val="19"/>
                <w:szCs w:val="19"/>
                <w:color w:val="auto"/>
              </w:rPr>
            </w:pPr>
          </w:p>
        </w:tc>
        <w:tc>
          <w:tcPr>
            <w:tcW w:w="1680" w:type="dxa"/>
            <w:vAlign w:val="bottom"/>
            <w:tcBorders>
              <w:right w:val="single" w:sz="8" w:color="E5E6E6"/>
            </w:tcBorders>
            <w:vMerge w:val="restart"/>
            <w:shd w:val="clear" w:color="auto" w:fill="1077A9"/>
          </w:tcPr>
          <w:p>
            <w:pPr>
              <w:jc w:val="right"/>
              <w:ind w:right="28"/>
              <w:spacing w:after="0"/>
              <w:rPr>
                <w:sz w:val="20"/>
                <w:szCs w:val="20"/>
                <w:color w:val="auto"/>
              </w:rPr>
            </w:pPr>
            <w:r>
              <w:rPr>
                <w:rFonts w:ascii="Arial" w:cs="Arial" w:eastAsia="Arial" w:hAnsi="Arial"/>
                <w:sz w:val="14"/>
                <w:szCs w:val="14"/>
                <w:color w:val="FFFFFF"/>
              </w:rPr>
              <w:t>Club Membership Dues</w:t>
            </w:r>
          </w:p>
        </w:tc>
        <w:tc>
          <w:tcPr>
            <w:tcW w:w="1680" w:type="dxa"/>
            <w:vAlign w:val="bottom"/>
            <w:tcBorders>
              <w:right w:val="single" w:sz="8" w:color="E5E6E6"/>
            </w:tcBorders>
            <w:shd w:val="clear" w:color="auto" w:fill="1077A9"/>
          </w:tcPr>
          <w:p>
            <w:pPr>
              <w:jc w:val="center"/>
              <w:spacing w:after="0"/>
              <w:rPr>
                <w:sz w:val="20"/>
                <w:szCs w:val="20"/>
                <w:color w:val="auto"/>
              </w:rPr>
            </w:pPr>
            <w:r>
              <w:rPr>
                <w:rFonts w:ascii="Arial" w:cs="Arial" w:eastAsia="Arial" w:hAnsi="Arial"/>
                <w:sz w:val="14"/>
                <w:szCs w:val="14"/>
                <w:color w:val="FFFFFF"/>
              </w:rPr>
              <w:t>Employer Contributions</w:t>
            </w:r>
          </w:p>
        </w:tc>
        <w:tc>
          <w:tcPr>
            <w:tcW w:w="1680" w:type="dxa"/>
            <w:vAlign w:val="bottom"/>
            <w:tcBorders>
              <w:right w:val="single" w:sz="8" w:color="E5E6E6"/>
            </w:tcBorders>
            <w:vMerge w:val="restart"/>
            <w:shd w:val="clear" w:color="auto" w:fill="1077A9"/>
          </w:tcPr>
          <w:p>
            <w:pPr>
              <w:jc w:val="right"/>
              <w:ind w:right="28"/>
              <w:spacing w:after="0"/>
              <w:rPr>
                <w:sz w:val="20"/>
                <w:szCs w:val="20"/>
                <w:color w:val="auto"/>
              </w:rPr>
            </w:pPr>
            <w:r>
              <w:rPr>
                <w:rFonts w:ascii="Arial" w:cs="Arial" w:eastAsia="Arial" w:hAnsi="Arial"/>
                <w:sz w:val="14"/>
                <w:szCs w:val="14"/>
                <w:color w:val="FFFFFF"/>
              </w:rPr>
              <w:t>Employer Contributions</w:t>
            </w:r>
          </w:p>
        </w:tc>
        <w:tc>
          <w:tcPr>
            <w:tcW w:w="1660" w:type="dxa"/>
            <w:vAlign w:val="bottom"/>
            <w:shd w:val="clear" w:color="auto" w:fill="1077A9"/>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840" w:type="dxa"/>
            <w:vAlign w:val="bottom"/>
            <w:tcBorders>
              <w:right w:val="single" w:sz="8" w:color="E5E6E6"/>
            </w:tcBorders>
            <w:vMerge w:val="restart"/>
            <w:shd w:val="clear" w:color="auto" w:fill="1077A9"/>
          </w:tcPr>
          <w:p>
            <w:pPr>
              <w:ind w:left="100"/>
              <w:spacing w:after="0"/>
              <w:rPr>
                <w:sz w:val="20"/>
                <w:szCs w:val="20"/>
                <w:color w:val="auto"/>
              </w:rPr>
            </w:pPr>
            <w:r>
              <w:rPr>
                <w:rFonts w:ascii="Arial" w:cs="Arial" w:eastAsia="Arial" w:hAnsi="Arial"/>
                <w:sz w:val="14"/>
                <w:szCs w:val="14"/>
                <w:color w:val="FFFFFF"/>
              </w:rPr>
              <w:t>Name</w:t>
            </w:r>
          </w:p>
        </w:tc>
        <w:tc>
          <w:tcPr>
            <w:tcW w:w="1700" w:type="dxa"/>
            <w:vAlign w:val="bottom"/>
            <w:tcBorders>
              <w:right w:val="single" w:sz="8" w:color="E5E6E6"/>
            </w:tcBorders>
            <w:vMerge w:val="restart"/>
            <w:shd w:val="clear" w:color="auto" w:fill="1077A9"/>
          </w:tcPr>
          <w:p>
            <w:pPr>
              <w:jc w:val="right"/>
              <w:ind w:right="188"/>
              <w:spacing w:after="0"/>
              <w:rPr>
                <w:sz w:val="20"/>
                <w:szCs w:val="20"/>
                <w:color w:val="auto"/>
              </w:rPr>
            </w:pPr>
            <w:r>
              <w:rPr>
                <w:rFonts w:ascii="Arial" w:cs="Arial" w:eastAsia="Arial" w:hAnsi="Arial"/>
                <w:sz w:val="14"/>
                <w:szCs w:val="14"/>
                <w:color w:val="FFFFFF"/>
              </w:rPr>
              <w:t>Auto Allowance ($)</w:t>
            </w:r>
          </w:p>
        </w:tc>
        <w:tc>
          <w:tcPr>
            <w:tcW w:w="1680" w:type="dxa"/>
            <w:vAlign w:val="bottom"/>
            <w:tcBorders>
              <w:right w:val="single" w:sz="8" w:color="E5E6E6"/>
            </w:tcBorders>
            <w:vMerge w:val="continue"/>
            <w:shd w:val="clear" w:color="auto" w:fill="1077A9"/>
          </w:tcPr>
          <w:p>
            <w:pPr>
              <w:spacing w:after="0"/>
              <w:rPr>
                <w:sz w:val="7"/>
                <w:szCs w:val="7"/>
                <w:color w:val="auto"/>
              </w:rPr>
            </w:pPr>
          </w:p>
        </w:tc>
        <w:tc>
          <w:tcPr>
            <w:tcW w:w="1680" w:type="dxa"/>
            <w:vAlign w:val="bottom"/>
            <w:tcBorders>
              <w:right w:val="single" w:sz="8" w:color="E5E6E6"/>
            </w:tcBorders>
            <w:vMerge w:val="restart"/>
            <w:shd w:val="clear" w:color="auto" w:fill="1077A9"/>
          </w:tcPr>
          <w:p>
            <w:pPr>
              <w:jc w:val="center"/>
              <w:ind w:right="8"/>
              <w:spacing w:after="0"/>
              <w:rPr>
                <w:sz w:val="20"/>
                <w:szCs w:val="20"/>
                <w:color w:val="auto"/>
              </w:rPr>
            </w:pPr>
            <w:r>
              <w:rPr>
                <w:rFonts w:ascii="Arial" w:cs="Arial" w:eastAsia="Arial" w:hAnsi="Arial"/>
                <w:sz w:val="14"/>
                <w:szCs w:val="14"/>
                <w:color w:val="FFFFFF"/>
              </w:rPr>
              <w:t>to the Deferred</w:t>
            </w:r>
          </w:p>
        </w:tc>
        <w:tc>
          <w:tcPr>
            <w:tcW w:w="1680" w:type="dxa"/>
            <w:vAlign w:val="bottom"/>
            <w:tcBorders>
              <w:right w:val="single" w:sz="8" w:color="E5E6E6"/>
            </w:tcBorders>
            <w:vMerge w:val="continue"/>
            <w:shd w:val="clear" w:color="auto" w:fill="1077A9"/>
          </w:tcPr>
          <w:p>
            <w:pPr>
              <w:spacing w:after="0"/>
              <w:rPr>
                <w:sz w:val="7"/>
                <w:szCs w:val="7"/>
                <w:color w:val="auto"/>
              </w:rPr>
            </w:pPr>
          </w:p>
        </w:tc>
        <w:tc>
          <w:tcPr>
            <w:tcW w:w="1660" w:type="dxa"/>
            <w:vAlign w:val="bottom"/>
            <w:vMerge w:val="restart"/>
            <w:shd w:val="clear" w:color="auto" w:fill="1077A9"/>
          </w:tcPr>
          <w:p>
            <w:pPr>
              <w:jc w:val="right"/>
              <w:ind w:right="508"/>
              <w:spacing w:after="0"/>
              <w:rPr>
                <w:sz w:val="20"/>
                <w:szCs w:val="20"/>
                <w:color w:val="auto"/>
              </w:rPr>
            </w:pPr>
            <w:r>
              <w:rPr>
                <w:rFonts w:ascii="Arial" w:cs="Arial" w:eastAsia="Arial" w:hAnsi="Arial"/>
                <w:sz w:val="14"/>
                <w:szCs w:val="14"/>
                <w:color w:val="FFFFFF"/>
              </w:rPr>
              <w:t>Total ($)</w:t>
            </w:r>
          </w:p>
        </w:tc>
        <w:tc>
          <w:tcPr>
            <w:tcW w:w="0" w:type="dxa"/>
            <w:vAlign w:val="bottom"/>
          </w:tcPr>
          <w:p>
            <w:pPr>
              <w:spacing w:after="0"/>
              <w:rPr>
                <w:sz w:val="1"/>
                <w:szCs w:val="1"/>
                <w:color w:val="auto"/>
              </w:rPr>
            </w:pPr>
          </w:p>
        </w:tc>
      </w:tr>
      <w:tr>
        <w:trPr>
          <w:trHeight w:val="81"/>
        </w:trPr>
        <w:tc>
          <w:tcPr>
            <w:tcW w:w="2840" w:type="dxa"/>
            <w:vAlign w:val="bottom"/>
            <w:tcBorders>
              <w:right w:val="single" w:sz="8" w:color="E5E6E6"/>
            </w:tcBorders>
            <w:vMerge w:val="continue"/>
            <w:shd w:val="clear" w:color="auto" w:fill="1077A9"/>
          </w:tcPr>
          <w:p>
            <w:pPr>
              <w:spacing w:after="0"/>
              <w:rPr>
                <w:sz w:val="7"/>
                <w:szCs w:val="7"/>
                <w:color w:val="auto"/>
              </w:rPr>
            </w:pPr>
          </w:p>
        </w:tc>
        <w:tc>
          <w:tcPr>
            <w:tcW w:w="1700" w:type="dxa"/>
            <w:vAlign w:val="bottom"/>
            <w:tcBorders>
              <w:right w:val="single" w:sz="8" w:color="E5E6E6"/>
            </w:tcBorders>
            <w:vMerge w:val="continue"/>
            <w:shd w:val="clear" w:color="auto" w:fill="1077A9"/>
          </w:tcPr>
          <w:p>
            <w:pPr>
              <w:spacing w:after="0"/>
              <w:rPr>
                <w:sz w:val="7"/>
                <w:szCs w:val="7"/>
                <w:color w:val="auto"/>
              </w:rPr>
            </w:pPr>
          </w:p>
        </w:tc>
        <w:tc>
          <w:tcPr>
            <w:tcW w:w="1680" w:type="dxa"/>
            <w:vAlign w:val="bottom"/>
            <w:tcBorders>
              <w:right w:val="single" w:sz="8" w:color="E5E6E6"/>
            </w:tcBorders>
            <w:vMerge w:val="restart"/>
            <w:shd w:val="clear" w:color="auto" w:fill="1077A9"/>
          </w:tcPr>
          <w:p>
            <w:pPr>
              <w:jc w:val="right"/>
              <w:ind w:right="708"/>
              <w:spacing w:after="0"/>
              <w:rPr>
                <w:sz w:val="20"/>
                <w:szCs w:val="20"/>
                <w:color w:val="auto"/>
              </w:rPr>
            </w:pPr>
            <w:r>
              <w:rPr>
                <w:rFonts w:ascii="Arial" w:cs="Arial" w:eastAsia="Arial" w:hAnsi="Arial"/>
                <w:sz w:val="14"/>
                <w:szCs w:val="14"/>
                <w:color w:val="FFFFFF"/>
              </w:rPr>
              <w:t>($)</w:t>
            </w:r>
          </w:p>
        </w:tc>
        <w:tc>
          <w:tcPr>
            <w:tcW w:w="1680" w:type="dxa"/>
            <w:vAlign w:val="bottom"/>
            <w:tcBorders>
              <w:right w:val="single" w:sz="8" w:color="E5E6E6"/>
            </w:tcBorders>
            <w:vMerge w:val="continue"/>
            <w:shd w:val="clear" w:color="auto" w:fill="1077A9"/>
          </w:tcPr>
          <w:p>
            <w:pPr>
              <w:spacing w:after="0"/>
              <w:rPr>
                <w:sz w:val="7"/>
                <w:szCs w:val="7"/>
                <w:color w:val="auto"/>
              </w:rPr>
            </w:pPr>
          </w:p>
        </w:tc>
        <w:tc>
          <w:tcPr>
            <w:tcW w:w="1680" w:type="dxa"/>
            <w:vAlign w:val="bottom"/>
            <w:tcBorders>
              <w:right w:val="single" w:sz="8" w:color="E5E6E6"/>
            </w:tcBorders>
            <w:vMerge w:val="restart"/>
            <w:shd w:val="clear" w:color="auto" w:fill="1077A9"/>
          </w:tcPr>
          <w:p>
            <w:pPr>
              <w:jc w:val="right"/>
              <w:ind w:right="108"/>
              <w:spacing w:after="0"/>
              <w:rPr>
                <w:sz w:val="20"/>
                <w:szCs w:val="20"/>
                <w:color w:val="auto"/>
              </w:rPr>
            </w:pPr>
            <w:r>
              <w:rPr>
                <w:rFonts w:ascii="Arial" w:cs="Arial" w:eastAsia="Arial" w:hAnsi="Arial"/>
                <w:sz w:val="14"/>
                <w:szCs w:val="14"/>
                <w:color w:val="FFFFFF"/>
              </w:rPr>
              <w:t>to the 401(k) Plan ($)</w:t>
            </w:r>
          </w:p>
        </w:tc>
        <w:tc>
          <w:tcPr>
            <w:tcW w:w="166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840" w:type="dxa"/>
            <w:vAlign w:val="bottom"/>
            <w:tcBorders>
              <w:right w:val="single" w:sz="8" w:color="E5E6E6"/>
            </w:tcBorders>
            <w:shd w:val="clear" w:color="auto" w:fill="1077A9"/>
          </w:tcPr>
          <w:p>
            <w:pPr>
              <w:spacing w:after="0"/>
              <w:rPr>
                <w:sz w:val="7"/>
                <w:szCs w:val="7"/>
                <w:color w:val="auto"/>
              </w:rPr>
            </w:pPr>
          </w:p>
        </w:tc>
        <w:tc>
          <w:tcPr>
            <w:tcW w:w="1700" w:type="dxa"/>
            <w:vAlign w:val="bottom"/>
            <w:tcBorders>
              <w:right w:val="single" w:sz="8" w:color="E5E6E6"/>
            </w:tcBorders>
            <w:shd w:val="clear" w:color="auto" w:fill="1077A9"/>
          </w:tcPr>
          <w:p>
            <w:pPr>
              <w:spacing w:after="0"/>
              <w:rPr>
                <w:sz w:val="7"/>
                <w:szCs w:val="7"/>
                <w:color w:val="auto"/>
              </w:rPr>
            </w:pPr>
          </w:p>
        </w:tc>
        <w:tc>
          <w:tcPr>
            <w:tcW w:w="1680" w:type="dxa"/>
            <w:vAlign w:val="bottom"/>
            <w:tcBorders>
              <w:right w:val="single" w:sz="8" w:color="E5E6E6"/>
            </w:tcBorders>
            <w:vMerge w:val="continue"/>
            <w:shd w:val="clear" w:color="auto" w:fill="1077A9"/>
          </w:tcPr>
          <w:p>
            <w:pPr>
              <w:spacing w:after="0"/>
              <w:rPr>
                <w:sz w:val="7"/>
                <w:szCs w:val="7"/>
                <w:color w:val="auto"/>
              </w:rPr>
            </w:pPr>
          </w:p>
        </w:tc>
        <w:tc>
          <w:tcPr>
            <w:tcW w:w="1680" w:type="dxa"/>
            <w:vAlign w:val="bottom"/>
            <w:tcBorders>
              <w:right w:val="single" w:sz="8" w:color="E5E6E6"/>
            </w:tcBorders>
            <w:vMerge w:val="restart"/>
            <w:shd w:val="clear" w:color="auto" w:fill="1077A9"/>
          </w:tcPr>
          <w:p>
            <w:pPr>
              <w:jc w:val="center"/>
              <w:spacing w:after="0"/>
              <w:rPr>
                <w:sz w:val="20"/>
                <w:szCs w:val="20"/>
                <w:color w:val="auto"/>
              </w:rPr>
            </w:pPr>
            <w:r>
              <w:rPr>
                <w:rFonts w:ascii="Arial" w:cs="Arial" w:eastAsia="Arial" w:hAnsi="Arial"/>
                <w:sz w:val="14"/>
                <w:szCs w:val="14"/>
                <w:color w:val="FFFFFF"/>
              </w:rPr>
              <w:t>Compensation Plan ($)</w:t>
            </w:r>
          </w:p>
        </w:tc>
        <w:tc>
          <w:tcPr>
            <w:tcW w:w="1680" w:type="dxa"/>
            <w:vAlign w:val="bottom"/>
            <w:tcBorders>
              <w:right w:val="single" w:sz="8" w:color="E5E6E6"/>
            </w:tcBorders>
            <w:vMerge w:val="continue"/>
            <w:shd w:val="clear" w:color="auto" w:fill="1077A9"/>
          </w:tcPr>
          <w:p>
            <w:pPr>
              <w:spacing w:after="0"/>
              <w:rPr>
                <w:sz w:val="7"/>
                <w:szCs w:val="7"/>
                <w:color w:val="auto"/>
              </w:rPr>
            </w:pPr>
          </w:p>
        </w:tc>
        <w:tc>
          <w:tcPr>
            <w:tcW w:w="1660" w:type="dxa"/>
            <w:vAlign w:val="bottom"/>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840" w:type="dxa"/>
            <w:vAlign w:val="bottom"/>
            <w:tcBorders>
              <w:bottom w:val="single" w:sz="8" w:color="1077A9"/>
              <w:right w:val="single" w:sz="8" w:color="E5E6E6"/>
            </w:tcBorders>
            <w:shd w:val="clear" w:color="auto" w:fill="1077A9"/>
          </w:tcPr>
          <w:p>
            <w:pPr>
              <w:spacing w:after="0"/>
              <w:rPr>
                <w:sz w:val="8"/>
                <w:szCs w:val="8"/>
                <w:color w:val="auto"/>
              </w:rPr>
            </w:pPr>
          </w:p>
        </w:tc>
        <w:tc>
          <w:tcPr>
            <w:tcW w:w="1700" w:type="dxa"/>
            <w:vAlign w:val="bottom"/>
            <w:tcBorders>
              <w:bottom w:val="single" w:sz="8" w:color="1077A9"/>
              <w:right w:val="single" w:sz="8" w:color="E5E6E6"/>
            </w:tcBorders>
            <w:shd w:val="clear" w:color="auto" w:fill="1077A9"/>
          </w:tcPr>
          <w:p>
            <w:pPr>
              <w:spacing w:after="0"/>
              <w:rPr>
                <w:sz w:val="8"/>
                <w:szCs w:val="8"/>
                <w:color w:val="auto"/>
              </w:rPr>
            </w:pPr>
          </w:p>
        </w:tc>
        <w:tc>
          <w:tcPr>
            <w:tcW w:w="1680" w:type="dxa"/>
            <w:vAlign w:val="bottom"/>
            <w:tcBorders>
              <w:bottom w:val="single" w:sz="8" w:color="1077A9"/>
              <w:right w:val="single" w:sz="8" w:color="E5E6E6"/>
            </w:tcBorders>
            <w:shd w:val="clear" w:color="auto" w:fill="1077A9"/>
          </w:tcPr>
          <w:p>
            <w:pPr>
              <w:spacing w:after="0"/>
              <w:rPr>
                <w:sz w:val="8"/>
                <w:szCs w:val="8"/>
                <w:color w:val="auto"/>
              </w:rPr>
            </w:pPr>
          </w:p>
        </w:tc>
        <w:tc>
          <w:tcPr>
            <w:tcW w:w="1680" w:type="dxa"/>
            <w:vAlign w:val="bottom"/>
            <w:tcBorders>
              <w:bottom w:val="single" w:sz="8" w:color="1077A9"/>
              <w:right w:val="single" w:sz="8" w:color="E5E6E6"/>
            </w:tcBorders>
            <w:vMerge w:val="continue"/>
            <w:shd w:val="clear" w:color="auto" w:fill="1077A9"/>
          </w:tcPr>
          <w:p>
            <w:pPr>
              <w:spacing w:after="0"/>
              <w:rPr>
                <w:sz w:val="8"/>
                <w:szCs w:val="8"/>
                <w:color w:val="auto"/>
              </w:rPr>
            </w:pPr>
          </w:p>
        </w:tc>
        <w:tc>
          <w:tcPr>
            <w:tcW w:w="1680" w:type="dxa"/>
            <w:vAlign w:val="bottom"/>
            <w:tcBorders>
              <w:bottom w:val="single" w:sz="8" w:color="1077A9"/>
              <w:right w:val="single" w:sz="8" w:color="E5E6E6"/>
            </w:tcBorders>
            <w:shd w:val="clear" w:color="auto" w:fill="1077A9"/>
          </w:tcPr>
          <w:p>
            <w:pPr>
              <w:spacing w:after="0"/>
              <w:rPr>
                <w:sz w:val="8"/>
                <w:szCs w:val="8"/>
                <w:color w:val="auto"/>
              </w:rPr>
            </w:pPr>
          </w:p>
        </w:tc>
        <w:tc>
          <w:tcPr>
            <w:tcW w:w="1660" w:type="dxa"/>
            <w:vAlign w:val="bottom"/>
            <w:tcBorders>
              <w:bottom w:val="single" w:sz="8" w:color="1077A9"/>
            </w:tcBorders>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1700" w:type="dxa"/>
            <w:vAlign w:val="bottom"/>
          </w:tcPr>
          <w:p>
            <w:pPr>
              <w:jc w:val="right"/>
              <w:ind w:right="308"/>
              <w:spacing w:after="0"/>
              <w:rPr>
                <w:sz w:val="20"/>
                <w:szCs w:val="20"/>
                <w:color w:val="auto"/>
              </w:rPr>
            </w:pPr>
            <w:r>
              <w:rPr>
                <w:rFonts w:ascii="Arial" w:cs="Arial" w:eastAsia="Arial" w:hAnsi="Arial"/>
                <w:sz w:val="14"/>
                <w:szCs w:val="14"/>
                <w:color w:val="auto"/>
              </w:rPr>
              <w:t>$ 15,000</w:t>
            </w:r>
          </w:p>
        </w:tc>
        <w:tc>
          <w:tcPr>
            <w:tcW w:w="1680" w:type="dxa"/>
            <w:vAlign w:val="bottom"/>
          </w:tcPr>
          <w:p>
            <w:pPr>
              <w:jc w:val="right"/>
              <w:ind w:right="308"/>
              <w:spacing w:after="0"/>
              <w:rPr>
                <w:sz w:val="20"/>
                <w:szCs w:val="20"/>
                <w:color w:val="auto"/>
              </w:rPr>
            </w:pPr>
            <w:r>
              <w:rPr>
                <w:rFonts w:ascii="Arial" w:cs="Arial" w:eastAsia="Arial" w:hAnsi="Arial"/>
                <w:sz w:val="14"/>
                <w:szCs w:val="14"/>
                <w:color w:val="auto"/>
              </w:rPr>
              <w:t>$ 24,664</w:t>
            </w:r>
          </w:p>
        </w:tc>
        <w:tc>
          <w:tcPr>
            <w:tcW w:w="1680" w:type="dxa"/>
            <w:vAlign w:val="bottom"/>
          </w:tcPr>
          <w:p>
            <w:pPr>
              <w:jc w:val="right"/>
              <w:ind w:right="288"/>
              <w:spacing w:after="0"/>
              <w:rPr>
                <w:sz w:val="20"/>
                <w:szCs w:val="20"/>
                <w:color w:val="auto"/>
              </w:rPr>
            </w:pPr>
            <w:r>
              <w:rPr>
                <w:rFonts w:ascii="Arial" w:cs="Arial" w:eastAsia="Arial" w:hAnsi="Arial"/>
                <w:sz w:val="14"/>
                <w:szCs w:val="14"/>
                <w:color w:val="auto"/>
              </w:rPr>
              <w:t>$ 24,500</w:t>
            </w:r>
          </w:p>
        </w:tc>
        <w:tc>
          <w:tcPr>
            <w:tcW w:w="1680" w:type="dxa"/>
            <w:vAlign w:val="bottom"/>
          </w:tcPr>
          <w:p>
            <w:pPr>
              <w:jc w:val="right"/>
              <w:ind w:right="308"/>
              <w:spacing w:after="0"/>
              <w:rPr>
                <w:sz w:val="20"/>
                <w:szCs w:val="20"/>
                <w:color w:val="auto"/>
              </w:rPr>
            </w:pPr>
            <w:r>
              <w:rPr>
                <w:rFonts w:ascii="Arial" w:cs="Arial" w:eastAsia="Arial" w:hAnsi="Arial"/>
                <w:sz w:val="14"/>
                <w:szCs w:val="14"/>
                <w:color w:val="auto"/>
              </w:rPr>
              <w:t>$ 9,369</w:t>
            </w:r>
          </w:p>
        </w:tc>
        <w:tc>
          <w:tcPr>
            <w:tcW w:w="1660" w:type="dxa"/>
            <w:vAlign w:val="bottom"/>
          </w:tcPr>
          <w:p>
            <w:pPr>
              <w:jc w:val="right"/>
              <w:ind w:right="288"/>
              <w:spacing w:after="0"/>
              <w:rPr>
                <w:sz w:val="20"/>
                <w:szCs w:val="20"/>
                <w:color w:val="auto"/>
              </w:rPr>
            </w:pPr>
            <w:r>
              <w:rPr>
                <w:rFonts w:ascii="Arial" w:cs="Arial" w:eastAsia="Arial" w:hAnsi="Arial"/>
                <w:sz w:val="14"/>
                <w:szCs w:val="14"/>
                <w:color w:val="auto"/>
              </w:rPr>
              <w:t>$ 73,533</w:t>
            </w:r>
          </w:p>
        </w:tc>
        <w:tc>
          <w:tcPr>
            <w:tcW w:w="0" w:type="dxa"/>
            <w:vAlign w:val="bottom"/>
          </w:tcPr>
          <w:p>
            <w:pPr>
              <w:spacing w:after="0"/>
              <w:rPr>
                <w:sz w:val="1"/>
                <w:szCs w:val="1"/>
                <w:color w:val="auto"/>
              </w:rPr>
            </w:pPr>
          </w:p>
        </w:tc>
      </w:tr>
      <w:tr>
        <w:trPr>
          <w:trHeight w:val="189"/>
        </w:trPr>
        <w:tc>
          <w:tcPr>
            <w:tcW w:w="284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1700" w:type="dxa"/>
            <w:vAlign w:val="bottom"/>
            <w:tcBorders>
              <w:right w:val="single" w:sz="8" w:color="E5E6E6"/>
            </w:tcBorders>
            <w:shd w:val="clear" w:color="auto" w:fill="E5E6E6"/>
          </w:tcPr>
          <w:p>
            <w:pPr>
              <w:jc w:val="right"/>
              <w:ind w:right="308"/>
              <w:spacing w:after="0"/>
              <w:rPr>
                <w:sz w:val="20"/>
                <w:szCs w:val="20"/>
                <w:color w:val="auto"/>
              </w:rPr>
            </w:pPr>
            <w:r>
              <w:rPr>
                <w:rFonts w:ascii="Arial" w:cs="Arial" w:eastAsia="Arial" w:hAnsi="Arial"/>
                <w:sz w:val="14"/>
                <w:szCs w:val="14"/>
                <w:color w:val="auto"/>
              </w:rPr>
              <w:t>15,000</w:t>
            </w:r>
          </w:p>
        </w:tc>
        <w:tc>
          <w:tcPr>
            <w:tcW w:w="1680" w:type="dxa"/>
            <w:vAlign w:val="bottom"/>
            <w:tcBorders>
              <w:right w:val="single" w:sz="8" w:color="E5E6E6"/>
            </w:tcBorders>
            <w:shd w:val="clear" w:color="auto" w:fill="E5E6E6"/>
          </w:tcPr>
          <w:p>
            <w:pPr>
              <w:jc w:val="right"/>
              <w:ind w:right="308"/>
              <w:spacing w:after="0"/>
              <w:rPr>
                <w:sz w:val="20"/>
                <w:szCs w:val="20"/>
                <w:color w:val="auto"/>
              </w:rPr>
            </w:pPr>
            <w:r>
              <w:rPr>
                <w:rFonts w:ascii="Arial" w:cs="Arial" w:eastAsia="Arial" w:hAnsi="Arial"/>
                <w:sz w:val="14"/>
                <w:szCs w:val="14"/>
                <w:color w:val="auto"/>
              </w:rPr>
              <w:t>20,750</w:t>
            </w:r>
          </w:p>
        </w:tc>
        <w:tc>
          <w:tcPr>
            <w:tcW w:w="1680" w:type="dxa"/>
            <w:vAlign w:val="bottom"/>
            <w:tcBorders>
              <w:right w:val="single" w:sz="8" w:color="E5E6E6"/>
            </w:tcBorders>
            <w:shd w:val="clear" w:color="auto" w:fill="E5E6E6"/>
          </w:tcPr>
          <w:p>
            <w:pPr>
              <w:jc w:val="right"/>
              <w:ind w:right="288"/>
              <w:spacing w:after="0"/>
              <w:rPr>
                <w:sz w:val="20"/>
                <w:szCs w:val="20"/>
                <w:color w:val="auto"/>
              </w:rPr>
            </w:pPr>
            <w:r>
              <w:rPr>
                <w:rFonts w:ascii="Arial" w:cs="Arial" w:eastAsia="Arial" w:hAnsi="Arial"/>
                <w:sz w:val="14"/>
                <w:szCs w:val="14"/>
                <w:color w:val="auto"/>
              </w:rPr>
              <w:t>6,750</w:t>
            </w:r>
          </w:p>
        </w:tc>
        <w:tc>
          <w:tcPr>
            <w:tcW w:w="1680" w:type="dxa"/>
            <w:vAlign w:val="bottom"/>
            <w:tcBorders>
              <w:right w:val="single" w:sz="8" w:color="E5E6E6"/>
            </w:tcBorders>
            <w:shd w:val="clear" w:color="auto" w:fill="E5E6E6"/>
          </w:tcPr>
          <w:p>
            <w:pPr>
              <w:jc w:val="right"/>
              <w:ind w:right="308"/>
              <w:spacing w:after="0"/>
              <w:rPr>
                <w:sz w:val="20"/>
                <w:szCs w:val="20"/>
                <w:color w:val="auto"/>
              </w:rPr>
            </w:pPr>
            <w:r>
              <w:rPr>
                <w:rFonts w:ascii="Arial" w:cs="Arial" w:eastAsia="Arial" w:hAnsi="Arial"/>
                <w:sz w:val="14"/>
                <w:szCs w:val="14"/>
                <w:color w:val="auto"/>
              </w:rPr>
              <w:t>1,750</w:t>
            </w:r>
          </w:p>
        </w:tc>
        <w:tc>
          <w:tcPr>
            <w:tcW w:w="16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44,250</w:t>
            </w:r>
          </w:p>
        </w:tc>
        <w:tc>
          <w:tcPr>
            <w:tcW w:w="0" w:type="dxa"/>
            <w:vAlign w:val="bottom"/>
          </w:tcPr>
          <w:p>
            <w:pPr>
              <w:spacing w:after="0"/>
              <w:rPr>
                <w:sz w:val="1"/>
                <w:szCs w:val="1"/>
                <w:color w:val="auto"/>
              </w:rPr>
            </w:pPr>
          </w:p>
        </w:tc>
      </w:tr>
      <w:tr>
        <w:trPr>
          <w:trHeight w:val="189"/>
        </w:trPr>
        <w:tc>
          <w:tcPr>
            <w:tcW w:w="284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1700" w:type="dxa"/>
            <w:vAlign w:val="bottom"/>
          </w:tcPr>
          <w:p>
            <w:pPr>
              <w:jc w:val="right"/>
              <w:ind w:right="308"/>
              <w:spacing w:after="0"/>
              <w:rPr>
                <w:sz w:val="20"/>
                <w:szCs w:val="20"/>
                <w:color w:val="auto"/>
              </w:rPr>
            </w:pPr>
            <w:r>
              <w:rPr>
                <w:rFonts w:ascii="Arial" w:cs="Arial" w:eastAsia="Arial" w:hAnsi="Arial"/>
                <w:sz w:val="14"/>
                <w:szCs w:val="14"/>
                <w:color w:val="auto"/>
              </w:rPr>
              <w:t>12,000</w:t>
            </w:r>
          </w:p>
        </w:tc>
        <w:tc>
          <w:tcPr>
            <w:tcW w:w="1680" w:type="dxa"/>
            <w:vAlign w:val="bottom"/>
          </w:tcPr>
          <w:p>
            <w:pPr>
              <w:jc w:val="right"/>
              <w:ind w:right="308"/>
              <w:spacing w:after="0"/>
              <w:rPr>
                <w:sz w:val="20"/>
                <w:szCs w:val="20"/>
                <w:color w:val="auto"/>
              </w:rPr>
            </w:pPr>
            <w:r>
              <w:rPr>
                <w:rFonts w:ascii="Arial" w:cs="Arial" w:eastAsia="Arial" w:hAnsi="Arial"/>
                <w:sz w:val="14"/>
                <w:szCs w:val="14"/>
                <w:color w:val="auto"/>
              </w:rPr>
              <w:t>7,015</w:t>
            </w:r>
          </w:p>
        </w:tc>
        <w:tc>
          <w:tcPr>
            <w:tcW w:w="1680" w:type="dxa"/>
            <w:vAlign w:val="bottom"/>
          </w:tcPr>
          <w:p>
            <w:pPr>
              <w:jc w:val="right"/>
              <w:ind w:right="288"/>
              <w:spacing w:after="0"/>
              <w:rPr>
                <w:sz w:val="20"/>
                <w:szCs w:val="20"/>
                <w:color w:val="auto"/>
              </w:rPr>
            </w:pPr>
            <w:r>
              <w:rPr>
                <w:rFonts w:ascii="Arial" w:cs="Arial" w:eastAsia="Arial" w:hAnsi="Arial"/>
                <w:sz w:val="14"/>
                <w:szCs w:val="14"/>
                <w:color w:val="auto"/>
              </w:rPr>
              <w:t>5,000</w:t>
            </w:r>
          </w:p>
        </w:tc>
        <w:tc>
          <w:tcPr>
            <w:tcW w:w="1680" w:type="dxa"/>
            <w:vAlign w:val="bottom"/>
          </w:tcPr>
          <w:p>
            <w:pPr>
              <w:jc w:val="right"/>
              <w:ind w:right="308"/>
              <w:spacing w:after="0"/>
              <w:rPr>
                <w:sz w:val="20"/>
                <w:szCs w:val="20"/>
                <w:color w:val="auto"/>
              </w:rPr>
            </w:pPr>
            <w:r>
              <w:rPr>
                <w:rFonts w:ascii="Arial" w:cs="Arial" w:eastAsia="Arial" w:hAnsi="Arial"/>
                <w:sz w:val="14"/>
                <w:szCs w:val="14"/>
                <w:color w:val="auto"/>
              </w:rPr>
              <w:t>14,250</w:t>
            </w:r>
          </w:p>
        </w:tc>
        <w:tc>
          <w:tcPr>
            <w:tcW w:w="1660" w:type="dxa"/>
            <w:vAlign w:val="bottom"/>
          </w:tcPr>
          <w:p>
            <w:pPr>
              <w:jc w:val="right"/>
              <w:ind w:right="288"/>
              <w:spacing w:after="0"/>
              <w:rPr>
                <w:sz w:val="20"/>
                <w:szCs w:val="20"/>
                <w:color w:val="auto"/>
              </w:rPr>
            </w:pPr>
            <w:r>
              <w:rPr>
                <w:rFonts w:ascii="Arial" w:cs="Arial" w:eastAsia="Arial" w:hAnsi="Arial"/>
                <w:sz w:val="14"/>
                <w:szCs w:val="14"/>
                <w:color w:val="auto"/>
              </w:rPr>
              <w:t>38,265</w:t>
            </w:r>
          </w:p>
        </w:tc>
        <w:tc>
          <w:tcPr>
            <w:tcW w:w="0" w:type="dxa"/>
            <w:vAlign w:val="bottom"/>
          </w:tcPr>
          <w:p>
            <w:pPr>
              <w:spacing w:after="0"/>
              <w:rPr>
                <w:sz w:val="1"/>
                <w:szCs w:val="1"/>
                <w:color w:val="auto"/>
              </w:rPr>
            </w:pPr>
          </w:p>
        </w:tc>
      </w:tr>
      <w:tr>
        <w:trPr>
          <w:trHeight w:val="189"/>
        </w:trPr>
        <w:tc>
          <w:tcPr>
            <w:tcW w:w="2840" w:type="dxa"/>
            <w:vAlign w:val="bottom"/>
            <w:tcBorders>
              <w:right w:val="single" w:sz="8" w:color="E5E6E6"/>
            </w:tcBorders>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1700" w:type="dxa"/>
            <w:vAlign w:val="bottom"/>
            <w:tcBorders>
              <w:right w:val="single" w:sz="8" w:color="E5E6E6"/>
            </w:tcBorders>
            <w:shd w:val="clear" w:color="auto" w:fill="E5E6E6"/>
          </w:tcPr>
          <w:p>
            <w:pPr>
              <w:jc w:val="right"/>
              <w:ind w:right="308"/>
              <w:spacing w:after="0"/>
              <w:rPr>
                <w:sz w:val="20"/>
                <w:szCs w:val="20"/>
                <w:color w:val="auto"/>
              </w:rPr>
            </w:pPr>
            <w:r>
              <w:rPr>
                <w:rFonts w:ascii="Arial" w:cs="Arial" w:eastAsia="Arial" w:hAnsi="Arial"/>
                <w:sz w:val="14"/>
                <w:szCs w:val="14"/>
                <w:color w:val="auto"/>
              </w:rPr>
              <w:t>12,000</w:t>
            </w:r>
          </w:p>
        </w:tc>
        <w:tc>
          <w:tcPr>
            <w:tcW w:w="1680" w:type="dxa"/>
            <w:vAlign w:val="bottom"/>
            <w:tcBorders>
              <w:right w:val="single" w:sz="8" w:color="E5E6E6"/>
            </w:tcBorders>
            <w:shd w:val="clear" w:color="auto" w:fill="E5E6E6"/>
          </w:tcPr>
          <w:p>
            <w:pPr>
              <w:jc w:val="right"/>
              <w:ind w:right="308"/>
              <w:spacing w:after="0"/>
              <w:rPr>
                <w:sz w:val="20"/>
                <w:szCs w:val="20"/>
                <w:color w:val="auto"/>
              </w:rPr>
            </w:pPr>
            <w:r>
              <w:rPr>
                <w:rFonts w:ascii="Arial" w:cs="Arial" w:eastAsia="Arial" w:hAnsi="Arial"/>
                <w:sz w:val="14"/>
                <w:szCs w:val="14"/>
                <w:color w:val="auto"/>
              </w:rPr>
              <w:t>-</w:t>
            </w:r>
          </w:p>
        </w:tc>
        <w:tc>
          <w:tcPr>
            <w:tcW w:w="1680" w:type="dxa"/>
            <w:vAlign w:val="bottom"/>
            <w:tcBorders>
              <w:right w:val="single" w:sz="8" w:color="E5E6E6"/>
            </w:tcBorders>
            <w:shd w:val="clear" w:color="auto" w:fill="E5E6E6"/>
          </w:tcPr>
          <w:p>
            <w:pPr>
              <w:jc w:val="right"/>
              <w:ind w:right="288"/>
              <w:spacing w:after="0"/>
              <w:rPr>
                <w:sz w:val="20"/>
                <w:szCs w:val="20"/>
                <w:color w:val="auto"/>
              </w:rPr>
            </w:pPr>
            <w:r>
              <w:rPr>
                <w:rFonts w:ascii="Arial" w:cs="Arial" w:eastAsia="Arial" w:hAnsi="Arial"/>
                <w:sz w:val="14"/>
                <w:szCs w:val="14"/>
                <w:color w:val="auto"/>
              </w:rPr>
              <w:t>5,000</w:t>
            </w:r>
          </w:p>
        </w:tc>
        <w:tc>
          <w:tcPr>
            <w:tcW w:w="1680" w:type="dxa"/>
            <w:vAlign w:val="bottom"/>
            <w:tcBorders>
              <w:right w:val="single" w:sz="8" w:color="E5E6E6"/>
            </w:tcBorders>
            <w:shd w:val="clear" w:color="auto" w:fill="E5E6E6"/>
          </w:tcPr>
          <w:p>
            <w:pPr>
              <w:jc w:val="right"/>
              <w:ind w:right="308"/>
              <w:spacing w:after="0"/>
              <w:rPr>
                <w:sz w:val="20"/>
                <w:szCs w:val="20"/>
                <w:color w:val="auto"/>
              </w:rPr>
            </w:pPr>
            <w:r>
              <w:rPr>
                <w:rFonts w:ascii="Arial" w:cs="Arial" w:eastAsia="Arial" w:hAnsi="Arial"/>
                <w:sz w:val="14"/>
                <w:szCs w:val="14"/>
                <w:color w:val="auto"/>
              </w:rPr>
              <w:t>14,250</w:t>
            </w:r>
          </w:p>
        </w:tc>
        <w:tc>
          <w:tcPr>
            <w:tcW w:w="16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31,250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E5E6E6"/>
            </w:tcBorders>
          </w:tcPr>
          <w:p>
            <w:pPr>
              <w:ind w:left="100"/>
              <w:spacing w:after="0"/>
              <w:rPr>
                <w:sz w:val="20"/>
                <w:szCs w:val="20"/>
                <w:color w:val="auto"/>
              </w:rPr>
            </w:pPr>
            <w:r>
              <w:rPr>
                <w:rFonts w:ascii="Arial" w:cs="Arial" w:eastAsia="Arial" w:hAnsi="Arial"/>
                <w:sz w:val="14"/>
                <w:szCs w:val="14"/>
                <w:color w:val="auto"/>
              </w:rPr>
              <w:t>Melinda Davis Lux</w:t>
            </w:r>
          </w:p>
        </w:tc>
        <w:tc>
          <w:tcPr>
            <w:tcW w:w="1700" w:type="dxa"/>
            <w:vAlign w:val="bottom"/>
            <w:tcBorders>
              <w:bottom w:val="single" w:sz="8" w:color="E5E6E6"/>
            </w:tcBorders>
          </w:tcPr>
          <w:p>
            <w:pPr>
              <w:jc w:val="right"/>
              <w:ind w:right="30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E5E6E6"/>
            </w:tcBorders>
          </w:tcPr>
          <w:p>
            <w:pPr>
              <w:jc w:val="right"/>
              <w:ind w:right="30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E5E6E6"/>
            </w:tcBorders>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E5E6E6"/>
            </w:tcBorders>
          </w:tcPr>
          <w:p>
            <w:pPr>
              <w:jc w:val="right"/>
              <w:ind w:right="30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E5E6E6"/>
            </w:tcBorders>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Ms. Davis Lux’s 2020 salary represents the amount of base salary paid since her hire in March 2020.</w:t>
      </w:r>
    </w:p>
    <w:p>
      <w:pPr>
        <w:ind w:left="180" w:hanging="172"/>
        <w:spacing w:after="0" w:line="188" w:lineRule="auto"/>
        <w:tabs>
          <w:tab w:leader="none" w:pos="180" w:val="left"/>
        </w:tabs>
        <w:numPr>
          <w:ilvl w:val="0"/>
          <w:numId w:val="51"/>
        </w:numPr>
        <w:rPr>
          <w:rFonts w:ascii="Arial" w:cs="Arial" w:eastAsia="Arial" w:hAnsi="Arial"/>
          <w:sz w:val="20"/>
          <w:szCs w:val="20"/>
          <w:color w:val="auto"/>
          <w:vertAlign w:val="superscript"/>
        </w:rPr>
      </w:pPr>
      <w:r>
        <w:rPr>
          <w:rFonts w:ascii="Arial" w:cs="Arial" w:eastAsia="Arial" w:hAnsi="Arial"/>
          <w:sz w:val="12"/>
          <w:szCs w:val="12"/>
          <w:color w:val="auto"/>
        </w:rPr>
        <w:t>Ms. Davis Lux’s employment offer included a one-time hiring bonus of $75,000 that will become vested and is to be paid during the first quarter of 2021. Ms. Davis Lux</w:t>
      </w:r>
    </w:p>
    <w:p>
      <w:pPr>
        <w:ind w:left="180"/>
        <w:spacing w:after="0" w:line="214" w:lineRule="auto"/>
        <w:rPr>
          <w:sz w:val="20"/>
          <w:szCs w:val="20"/>
          <w:color w:val="auto"/>
        </w:rPr>
      </w:pPr>
      <w:r>
        <w:rPr>
          <w:rFonts w:ascii="Arial" w:cs="Arial" w:eastAsia="Arial" w:hAnsi="Arial"/>
          <w:sz w:val="14"/>
          <w:szCs w:val="14"/>
          <w:color w:val="auto"/>
        </w:rPr>
        <w:t>elected to defer this payment, once vested, under our Deferred Compensation Plan.</w:t>
      </w:r>
    </w:p>
    <w:p>
      <w:pPr>
        <w:spacing w:after="0" w:line="19" w:lineRule="exact"/>
        <w:rPr>
          <w:sz w:val="20"/>
          <w:szCs w:val="20"/>
          <w:color w:val="auto"/>
        </w:rPr>
      </w:pPr>
    </w:p>
    <w:p>
      <w:pPr>
        <w:ind w:left="180" w:right="140" w:hanging="172"/>
        <w:spacing w:after="0" w:line="188" w:lineRule="auto"/>
        <w:tabs>
          <w:tab w:leader="none" w:pos="180" w:val="left"/>
        </w:tabs>
        <w:numPr>
          <w:ilvl w:val="0"/>
          <w:numId w:val="52"/>
        </w:numPr>
        <w:rPr>
          <w:rFonts w:ascii="Arial" w:cs="Arial" w:eastAsia="Arial" w:hAnsi="Arial"/>
          <w:sz w:val="23"/>
          <w:szCs w:val="23"/>
          <w:color w:val="auto"/>
          <w:vertAlign w:val="superscript"/>
        </w:rPr>
      </w:pPr>
      <w:r>
        <w:rPr>
          <w:rFonts w:ascii="Arial" w:cs="Arial" w:eastAsia="Arial" w:hAnsi="Arial"/>
          <w:sz w:val="14"/>
          <w:szCs w:val="14"/>
          <w:color w:val="auto"/>
        </w:rPr>
        <w:t>Beginning in 2020, the Board determined that it will not offer participation in the Modified Retirement Plan to any employee of United who was not already a participant. As a result, Ms. Davis Lux was not offered participation in the Modified Retirement Plan upon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6" w:name="page47"/>
    <w:bookmarkEnd w:id="46"/>
    <w:p>
      <w:pPr>
        <w:spacing w:after="0"/>
        <w:rPr>
          <w:sz w:val="20"/>
          <w:szCs w:val="20"/>
          <w:color w:val="auto"/>
        </w:rPr>
      </w:pPr>
      <w:r>
        <w:rPr>
          <w:rFonts w:ascii="Arial" w:cs="Arial" w:eastAsia="Arial" w:hAnsi="Arial"/>
          <w:sz w:val="27"/>
          <w:szCs w:val="27"/>
          <w:b w:val="1"/>
          <w:bCs w:val="1"/>
          <w:color w:val="1077A9"/>
        </w:rPr>
        <w:t>Grant of Plan-Based Awards</w:t>
      </w:r>
    </w:p>
    <w:p>
      <w:pPr>
        <w:spacing w:after="0" w:line="237"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The following table summarizes each NEO’s 2020 nonequity incentive opportunity under Estimated Future Payouts Under Nonequity Incentive Plan Awards. Actual annual nonequity incentives earned in 2020 are shown in the Summary Compensation Table. See Compensation Discussion and Analysis: 2020 Executive Compensation Components: Annual Nonequity Incentive Awards for additional information.</w:t>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following table also shows information regarding equity incentives granted to our NEOs during 2020. Awards summarized under Estimated Future Payouts Under Equity Incentive Plan Awards include the threshold, target and maximum number of PRSUs which could be earned by each NEO based upon the level of achievement of the applicable performance measures. The awards listed under All Other Stock Awards include TRSUs that vest over time based upon the applicable NEO’s continued employment with United. See Compensation Discussion and Analysis: 2020 Executive Compensation Components: Long-Term Equity Incentive Awards for additional information. Columns have been omitted from this table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17145" cy="10629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145" cy="10629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40" w:type="dxa"/>
            <w:vAlign w:val="bottom"/>
            <w:gridSpan w:val="3"/>
            <w:shd w:val="clear" w:color="auto" w:fill="E5E6E6"/>
          </w:tcPr>
          <w:p>
            <w:pPr>
              <w:jc w:val="center"/>
              <w:spacing w:after="0"/>
              <w:rPr>
                <w:sz w:val="20"/>
                <w:szCs w:val="20"/>
                <w:color w:val="auto"/>
              </w:rPr>
            </w:pPr>
            <w:r>
              <w:rPr>
                <w:rFonts w:ascii="Arial" w:cs="Arial" w:eastAsia="Arial" w:hAnsi="Arial"/>
                <w:sz w:val="14"/>
                <w:szCs w:val="14"/>
                <w:color w:val="auto"/>
              </w:rPr>
              <w:t>Estimated Future Payouts Under Nonequity</w:t>
            </w:r>
          </w:p>
        </w:tc>
        <w:tc>
          <w:tcPr>
            <w:tcW w:w="3040" w:type="dxa"/>
            <w:vAlign w:val="bottom"/>
            <w:gridSpan w:val="3"/>
            <w:shd w:val="clear" w:color="auto" w:fill="E5E6E6"/>
          </w:tcPr>
          <w:p>
            <w:pPr>
              <w:jc w:val="center"/>
              <w:spacing w:after="0"/>
              <w:rPr>
                <w:sz w:val="20"/>
                <w:szCs w:val="20"/>
                <w:color w:val="auto"/>
              </w:rPr>
            </w:pPr>
            <w:r>
              <w:rPr>
                <w:rFonts w:ascii="Arial" w:cs="Arial" w:eastAsia="Arial" w:hAnsi="Arial"/>
                <w:sz w:val="14"/>
                <w:szCs w:val="14"/>
                <w:color w:val="auto"/>
              </w:rPr>
              <w:t>Estimated Future Payouts under Equity</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40" w:type="dxa"/>
            <w:vAlign w:val="bottom"/>
            <w:gridSpan w:val="3"/>
            <w:shd w:val="clear" w:color="auto" w:fill="E5E6E6"/>
          </w:tcPr>
          <w:p>
            <w:pPr>
              <w:jc w:val="center"/>
              <w:spacing w:after="0" w:line="143" w:lineRule="exact"/>
              <w:rPr>
                <w:sz w:val="20"/>
                <w:szCs w:val="20"/>
                <w:color w:val="auto"/>
              </w:rPr>
            </w:pPr>
            <w:r>
              <w:rPr>
                <w:rFonts w:ascii="Arial" w:cs="Arial" w:eastAsia="Arial" w:hAnsi="Arial"/>
                <w:sz w:val="14"/>
                <w:szCs w:val="14"/>
                <w:color w:val="auto"/>
              </w:rPr>
              <w:t>Incentive Plan Awards</w:t>
            </w:r>
          </w:p>
        </w:tc>
        <w:tc>
          <w:tcPr>
            <w:tcW w:w="1020" w:type="dxa"/>
            <w:vAlign w:val="bottom"/>
            <w:shd w:val="clear" w:color="auto" w:fill="E5E6E6"/>
          </w:tcPr>
          <w:p>
            <w:pPr>
              <w:spacing w:after="0"/>
              <w:rPr>
                <w:sz w:val="12"/>
                <w:szCs w:val="12"/>
                <w:color w:val="auto"/>
              </w:rPr>
            </w:pPr>
          </w:p>
        </w:tc>
        <w:tc>
          <w:tcPr>
            <w:tcW w:w="1020" w:type="dxa"/>
            <w:vAlign w:val="bottom"/>
            <w:shd w:val="clear" w:color="auto" w:fill="E5E6E6"/>
          </w:tcPr>
          <w:p>
            <w:pPr>
              <w:jc w:val="center"/>
              <w:spacing w:after="0" w:line="143" w:lineRule="exact"/>
              <w:rPr>
                <w:sz w:val="20"/>
                <w:szCs w:val="20"/>
                <w:color w:val="auto"/>
              </w:rPr>
            </w:pPr>
            <w:r>
              <w:rPr>
                <w:rFonts w:ascii="Arial" w:cs="Arial" w:eastAsia="Arial" w:hAnsi="Arial"/>
                <w:sz w:val="14"/>
                <w:szCs w:val="14"/>
                <w:color w:val="auto"/>
              </w:rPr>
              <w:t>Incentive</w:t>
            </w:r>
          </w:p>
        </w:tc>
        <w:tc>
          <w:tcPr>
            <w:tcW w:w="1000" w:type="dxa"/>
            <w:vAlign w:val="bottom"/>
            <w:shd w:val="clear" w:color="auto" w:fill="E5E6E6"/>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shd w:val="clear" w:color="auto" w:fill="E5E6E6"/>
          </w:tcPr>
          <w:p>
            <w:pPr>
              <w:spacing w:after="0"/>
              <w:rPr>
                <w:sz w:val="20"/>
                <w:szCs w:val="20"/>
                <w:color w:val="auto"/>
              </w:rPr>
            </w:pPr>
          </w:p>
        </w:tc>
        <w:tc>
          <w:tcPr>
            <w:tcW w:w="940" w:type="dxa"/>
            <w:vAlign w:val="bottom"/>
            <w:shd w:val="clear" w:color="auto" w:fill="E5E6E6"/>
          </w:tcPr>
          <w:p>
            <w:pPr>
              <w:spacing w:after="0"/>
              <w:rPr>
                <w:sz w:val="20"/>
                <w:szCs w:val="20"/>
                <w:color w:val="auto"/>
              </w:rPr>
            </w:pPr>
          </w:p>
        </w:tc>
        <w:tc>
          <w:tcPr>
            <w:tcW w:w="1080" w:type="dxa"/>
            <w:vAlign w:val="bottom"/>
            <w:shd w:val="clear" w:color="auto" w:fill="E5E6E6"/>
          </w:tcPr>
          <w:p>
            <w:pPr>
              <w:spacing w:after="0"/>
              <w:rPr>
                <w:sz w:val="20"/>
                <w:szCs w:val="20"/>
                <w:color w:val="auto"/>
              </w:rPr>
            </w:pPr>
          </w:p>
        </w:tc>
        <w:tc>
          <w:tcPr>
            <w:tcW w:w="1020" w:type="dxa"/>
            <w:vAlign w:val="bottom"/>
            <w:shd w:val="clear" w:color="auto" w:fill="E5E6E6"/>
          </w:tcPr>
          <w:p>
            <w:pPr>
              <w:spacing w:after="0"/>
              <w:rPr>
                <w:sz w:val="20"/>
                <w:szCs w:val="20"/>
                <w:color w:val="auto"/>
              </w:rPr>
            </w:pPr>
          </w:p>
        </w:tc>
        <w:tc>
          <w:tcPr>
            <w:tcW w:w="1020" w:type="dxa"/>
            <w:vAlign w:val="bottom"/>
            <w:shd w:val="clear" w:color="auto" w:fill="E5E6E6"/>
          </w:tcPr>
          <w:p>
            <w:pPr>
              <w:jc w:val="center"/>
              <w:spacing w:after="0" w:line="230" w:lineRule="exact"/>
              <w:rPr>
                <w:sz w:val="20"/>
                <w:szCs w:val="20"/>
                <w:color w:val="auto"/>
              </w:rPr>
            </w:pPr>
            <w:r>
              <w:rPr>
                <w:rFonts w:ascii="Arial" w:cs="Arial" w:eastAsia="Arial" w:hAnsi="Arial"/>
                <w:sz w:val="14"/>
                <w:szCs w:val="14"/>
                <w:color w:val="auto"/>
                <w:w w:val="98"/>
              </w:rPr>
              <w:t>Plan Awards</w:t>
            </w:r>
            <w:r>
              <w:rPr>
                <w:rFonts w:ascii="Arial" w:cs="Arial" w:eastAsia="Arial" w:hAnsi="Arial"/>
                <w:sz w:val="23"/>
                <w:szCs w:val="23"/>
                <w:color w:val="auto"/>
                <w:w w:val="98"/>
                <w:vertAlign w:val="superscript"/>
              </w:rPr>
              <w:t>1</w:t>
            </w:r>
          </w:p>
        </w:tc>
        <w:tc>
          <w:tcPr>
            <w:tcW w:w="1000" w:type="dxa"/>
            <w:vAlign w:val="bottom"/>
            <w:shd w:val="clear" w:color="auto" w:fill="E5E6E6"/>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160" w:type="dxa"/>
            <w:vAlign w:val="bottom"/>
            <w:shd w:val="clear" w:color="auto" w:fill="1077A9"/>
          </w:tcPr>
          <w:p>
            <w:pPr>
              <w:spacing w:after="0"/>
              <w:rPr>
                <w:sz w:val="19"/>
                <w:szCs w:val="19"/>
                <w:color w:val="auto"/>
              </w:rPr>
            </w:pPr>
          </w:p>
        </w:tc>
        <w:tc>
          <w:tcPr>
            <w:tcW w:w="1000" w:type="dxa"/>
            <w:vAlign w:val="bottom"/>
            <w:shd w:val="clear" w:color="auto" w:fill="1077A9"/>
          </w:tcPr>
          <w:p>
            <w:pPr>
              <w:spacing w:after="0"/>
              <w:rPr>
                <w:sz w:val="19"/>
                <w:szCs w:val="19"/>
                <w:color w:val="auto"/>
              </w:rPr>
            </w:pPr>
          </w:p>
        </w:tc>
        <w:tc>
          <w:tcPr>
            <w:tcW w:w="1020" w:type="dxa"/>
            <w:vAlign w:val="bottom"/>
            <w:shd w:val="clear" w:color="auto" w:fill="1077A9"/>
          </w:tcPr>
          <w:p>
            <w:pPr>
              <w:spacing w:after="0"/>
              <w:rPr>
                <w:sz w:val="19"/>
                <w:szCs w:val="19"/>
                <w:color w:val="auto"/>
              </w:rPr>
            </w:pPr>
          </w:p>
        </w:tc>
        <w:tc>
          <w:tcPr>
            <w:tcW w:w="940" w:type="dxa"/>
            <w:vAlign w:val="bottom"/>
            <w:shd w:val="clear" w:color="auto" w:fill="1077A9"/>
          </w:tcPr>
          <w:p>
            <w:pPr>
              <w:spacing w:after="0"/>
              <w:rPr>
                <w:sz w:val="19"/>
                <w:szCs w:val="19"/>
                <w:color w:val="auto"/>
              </w:rPr>
            </w:pPr>
          </w:p>
        </w:tc>
        <w:tc>
          <w:tcPr>
            <w:tcW w:w="1080" w:type="dxa"/>
            <w:vAlign w:val="bottom"/>
            <w:shd w:val="clear" w:color="auto" w:fill="1077A9"/>
          </w:tcPr>
          <w:p>
            <w:pPr>
              <w:spacing w:after="0"/>
              <w:rPr>
                <w:sz w:val="19"/>
                <w:szCs w:val="19"/>
                <w:color w:val="auto"/>
              </w:rPr>
            </w:pPr>
          </w:p>
        </w:tc>
        <w:tc>
          <w:tcPr>
            <w:tcW w:w="1020" w:type="dxa"/>
            <w:vAlign w:val="bottom"/>
            <w:shd w:val="clear" w:color="auto" w:fill="1077A9"/>
          </w:tcPr>
          <w:p>
            <w:pPr>
              <w:spacing w:after="0"/>
              <w:rPr>
                <w:sz w:val="19"/>
                <w:szCs w:val="19"/>
                <w:color w:val="auto"/>
              </w:rPr>
            </w:pPr>
          </w:p>
        </w:tc>
        <w:tc>
          <w:tcPr>
            <w:tcW w:w="1020" w:type="dxa"/>
            <w:vAlign w:val="bottom"/>
            <w:shd w:val="clear" w:color="auto" w:fill="1077A9"/>
          </w:tcPr>
          <w:p>
            <w:pPr>
              <w:spacing w:after="0"/>
              <w:rPr>
                <w:sz w:val="19"/>
                <w:szCs w:val="19"/>
                <w:color w:val="auto"/>
              </w:rPr>
            </w:pPr>
          </w:p>
        </w:tc>
        <w:tc>
          <w:tcPr>
            <w:tcW w:w="1000" w:type="dxa"/>
            <w:vAlign w:val="bottom"/>
            <w:shd w:val="clear" w:color="auto" w:fill="1077A9"/>
          </w:tcPr>
          <w:p>
            <w:pPr>
              <w:spacing w:after="0"/>
              <w:rPr>
                <w:sz w:val="19"/>
                <w:szCs w:val="19"/>
                <w:color w:val="auto"/>
              </w:rPr>
            </w:pPr>
          </w:p>
        </w:tc>
        <w:tc>
          <w:tcPr>
            <w:tcW w:w="98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All Other</w:t>
            </w:r>
          </w:p>
        </w:tc>
        <w:tc>
          <w:tcPr>
            <w:tcW w:w="102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Grant Date</w:t>
            </w:r>
          </w:p>
        </w:tc>
        <w:tc>
          <w:tcPr>
            <w:tcW w:w="0" w:type="dxa"/>
            <w:vAlign w:val="bottom"/>
          </w:tcPr>
          <w:p>
            <w:pPr>
              <w:spacing w:after="0"/>
              <w:rPr>
                <w:sz w:val="1"/>
                <w:szCs w:val="1"/>
                <w:color w:val="auto"/>
              </w:rPr>
            </w:pPr>
          </w:p>
        </w:tc>
      </w:tr>
      <w:tr>
        <w:trPr>
          <w:trHeight w:val="148"/>
        </w:trPr>
        <w:tc>
          <w:tcPr>
            <w:tcW w:w="2160" w:type="dxa"/>
            <w:vAlign w:val="bottom"/>
            <w:shd w:val="clear" w:color="auto" w:fill="1077A9"/>
          </w:tcPr>
          <w:p>
            <w:pPr>
              <w:spacing w:after="0"/>
              <w:rPr>
                <w:sz w:val="12"/>
                <w:szCs w:val="12"/>
                <w:color w:val="auto"/>
              </w:rPr>
            </w:pPr>
          </w:p>
        </w:tc>
        <w:tc>
          <w:tcPr>
            <w:tcW w:w="1000" w:type="dxa"/>
            <w:vAlign w:val="bottom"/>
            <w:shd w:val="clear" w:color="auto" w:fill="1077A9"/>
          </w:tcPr>
          <w:p>
            <w:pPr>
              <w:spacing w:after="0"/>
              <w:rPr>
                <w:sz w:val="12"/>
                <w:szCs w:val="12"/>
                <w:color w:val="auto"/>
              </w:rPr>
            </w:pPr>
          </w:p>
        </w:tc>
        <w:tc>
          <w:tcPr>
            <w:tcW w:w="1020" w:type="dxa"/>
            <w:vAlign w:val="bottom"/>
            <w:shd w:val="clear" w:color="auto" w:fill="1077A9"/>
          </w:tcPr>
          <w:p>
            <w:pPr>
              <w:spacing w:after="0"/>
              <w:rPr>
                <w:sz w:val="12"/>
                <w:szCs w:val="12"/>
                <w:color w:val="auto"/>
              </w:rPr>
            </w:pPr>
          </w:p>
        </w:tc>
        <w:tc>
          <w:tcPr>
            <w:tcW w:w="940" w:type="dxa"/>
            <w:vAlign w:val="bottom"/>
            <w:shd w:val="clear" w:color="auto" w:fill="1077A9"/>
          </w:tcPr>
          <w:p>
            <w:pPr>
              <w:spacing w:after="0"/>
              <w:rPr>
                <w:sz w:val="12"/>
                <w:szCs w:val="12"/>
                <w:color w:val="auto"/>
              </w:rPr>
            </w:pPr>
          </w:p>
        </w:tc>
        <w:tc>
          <w:tcPr>
            <w:tcW w:w="1080" w:type="dxa"/>
            <w:vAlign w:val="bottom"/>
            <w:shd w:val="clear" w:color="auto" w:fill="1077A9"/>
          </w:tcPr>
          <w:p>
            <w:pPr>
              <w:spacing w:after="0"/>
              <w:rPr>
                <w:sz w:val="12"/>
                <w:szCs w:val="12"/>
                <w:color w:val="auto"/>
              </w:rPr>
            </w:pPr>
          </w:p>
        </w:tc>
        <w:tc>
          <w:tcPr>
            <w:tcW w:w="1020" w:type="dxa"/>
            <w:vAlign w:val="bottom"/>
            <w:shd w:val="clear" w:color="auto" w:fill="1077A9"/>
          </w:tcPr>
          <w:p>
            <w:pPr>
              <w:spacing w:after="0"/>
              <w:rPr>
                <w:sz w:val="12"/>
                <w:szCs w:val="12"/>
                <w:color w:val="auto"/>
              </w:rPr>
            </w:pPr>
          </w:p>
        </w:tc>
        <w:tc>
          <w:tcPr>
            <w:tcW w:w="1020" w:type="dxa"/>
            <w:vAlign w:val="bottom"/>
            <w:shd w:val="clear" w:color="auto" w:fill="1077A9"/>
          </w:tcPr>
          <w:p>
            <w:pPr>
              <w:spacing w:after="0"/>
              <w:rPr>
                <w:sz w:val="12"/>
                <w:szCs w:val="12"/>
                <w:color w:val="auto"/>
              </w:rPr>
            </w:pPr>
          </w:p>
        </w:tc>
        <w:tc>
          <w:tcPr>
            <w:tcW w:w="1000" w:type="dxa"/>
            <w:vAlign w:val="bottom"/>
            <w:shd w:val="clear" w:color="auto" w:fill="1077A9"/>
          </w:tcPr>
          <w:p>
            <w:pPr>
              <w:spacing w:after="0"/>
              <w:rPr>
                <w:sz w:val="12"/>
                <w:szCs w:val="12"/>
                <w:color w:val="auto"/>
              </w:rPr>
            </w:pPr>
          </w:p>
        </w:tc>
        <w:tc>
          <w:tcPr>
            <w:tcW w:w="980" w:type="dxa"/>
            <w:vAlign w:val="bottom"/>
            <w:shd w:val="clear" w:color="auto" w:fill="1077A9"/>
          </w:tcPr>
          <w:p>
            <w:pPr>
              <w:jc w:val="center"/>
              <w:spacing w:after="0" w:line="149" w:lineRule="exact"/>
              <w:rPr>
                <w:sz w:val="20"/>
                <w:szCs w:val="20"/>
                <w:color w:val="auto"/>
              </w:rPr>
            </w:pPr>
            <w:r>
              <w:rPr>
                <w:rFonts w:ascii="Arial" w:cs="Arial" w:eastAsia="Arial" w:hAnsi="Arial"/>
                <w:sz w:val="14"/>
                <w:szCs w:val="14"/>
                <w:color w:val="FFFFFF"/>
              </w:rPr>
              <w:t>Stock Awards:</w:t>
            </w:r>
          </w:p>
        </w:tc>
        <w:tc>
          <w:tcPr>
            <w:tcW w:w="1020" w:type="dxa"/>
            <w:vAlign w:val="bottom"/>
            <w:vMerge w:val="continue"/>
            <w:shd w:val="clear" w:color="auto" w:fill="1077A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shd w:val="clear" w:color="auto" w:fill="1077A9"/>
          </w:tcPr>
          <w:p>
            <w:pPr>
              <w:ind w:left="100"/>
              <w:spacing w:after="0"/>
              <w:rPr>
                <w:sz w:val="20"/>
                <w:szCs w:val="20"/>
                <w:color w:val="auto"/>
              </w:rPr>
            </w:pPr>
            <w:r>
              <w:rPr>
                <w:rFonts w:ascii="Arial" w:cs="Arial" w:eastAsia="Arial" w:hAnsi="Arial"/>
                <w:sz w:val="14"/>
                <w:szCs w:val="14"/>
                <w:color w:val="FFFFFF"/>
              </w:rPr>
              <w:t>Name</w:t>
            </w:r>
          </w:p>
        </w:tc>
        <w:tc>
          <w:tcPr>
            <w:tcW w:w="1000" w:type="dxa"/>
            <w:vAlign w:val="bottom"/>
            <w:vMerge w:val="restart"/>
            <w:shd w:val="clear" w:color="auto" w:fill="1077A9"/>
          </w:tcPr>
          <w:p>
            <w:pPr>
              <w:ind w:left="140"/>
              <w:spacing w:after="0"/>
              <w:rPr>
                <w:sz w:val="20"/>
                <w:szCs w:val="20"/>
                <w:color w:val="auto"/>
              </w:rPr>
            </w:pPr>
            <w:r>
              <w:rPr>
                <w:rFonts w:ascii="Arial" w:cs="Arial" w:eastAsia="Arial" w:hAnsi="Arial"/>
                <w:sz w:val="14"/>
                <w:szCs w:val="14"/>
                <w:color w:val="FFFFFF"/>
              </w:rPr>
              <w:t>Grant Date</w:t>
            </w:r>
          </w:p>
        </w:tc>
        <w:tc>
          <w:tcPr>
            <w:tcW w:w="1020" w:type="dxa"/>
            <w:vAlign w:val="bottom"/>
            <w:vMerge w:val="restart"/>
            <w:shd w:val="clear" w:color="auto" w:fill="1077A9"/>
          </w:tcPr>
          <w:p>
            <w:pPr>
              <w:jc w:val="right"/>
              <w:ind w:right="8"/>
              <w:spacing w:after="0"/>
              <w:rPr>
                <w:sz w:val="20"/>
                <w:szCs w:val="20"/>
                <w:color w:val="auto"/>
              </w:rPr>
            </w:pPr>
            <w:r>
              <w:rPr>
                <w:rFonts w:ascii="Arial" w:cs="Arial" w:eastAsia="Arial" w:hAnsi="Arial"/>
                <w:sz w:val="14"/>
                <w:szCs w:val="14"/>
                <w:color w:val="FFFFFF"/>
              </w:rPr>
              <w:t>Threshold ($)</w:t>
            </w:r>
          </w:p>
        </w:tc>
        <w:tc>
          <w:tcPr>
            <w:tcW w:w="940" w:type="dxa"/>
            <w:vAlign w:val="bottom"/>
            <w:vMerge w:val="restart"/>
            <w:shd w:val="clear" w:color="auto" w:fill="1077A9"/>
          </w:tcPr>
          <w:p>
            <w:pPr>
              <w:jc w:val="center"/>
              <w:ind w:left="8"/>
              <w:spacing w:after="0"/>
              <w:rPr>
                <w:sz w:val="20"/>
                <w:szCs w:val="20"/>
                <w:color w:val="auto"/>
              </w:rPr>
            </w:pPr>
            <w:r>
              <w:rPr>
                <w:rFonts w:ascii="Arial" w:cs="Arial" w:eastAsia="Arial" w:hAnsi="Arial"/>
                <w:sz w:val="14"/>
                <w:szCs w:val="14"/>
                <w:color w:val="FFFFFF"/>
              </w:rPr>
              <w:t>Target ($)</w:t>
            </w:r>
          </w:p>
        </w:tc>
        <w:tc>
          <w:tcPr>
            <w:tcW w:w="1080" w:type="dxa"/>
            <w:vAlign w:val="bottom"/>
            <w:vMerge w:val="restart"/>
            <w:shd w:val="clear" w:color="auto" w:fill="1077A9"/>
          </w:tcPr>
          <w:p>
            <w:pPr>
              <w:jc w:val="right"/>
              <w:ind w:right="8"/>
              <w:spacing w:after="0"/>
              <w:rPr>
                <w:sz w:val="20"/>
                <w:szCs w:val="20"/>
                <w:color w:val="auto"/>
              </w:rPr>
            </w:pPr>
            <w:r>
              <w:rPr>
                <w:rFonts w:ascii="Arial" w:cs="Arial" w:eastAsia="Arial" w:hAnsi="Arial"/>
                <w:sz w:val="14"/>
                <w:szCs w:val="14"/>
                <w:color w:val="FFFFFF"/>
              </w:rPr>
              <w:t>Maximum ($)</w:t>
            </w:r>
          </w:p>
        </w:tc>
        <w:tc>
          <w:tcPr>
            <w:tcW w:w="1020" w:type="dxa"/>
            <w:vAlign w:val="bottom"/>
            <w:vMerge w:val="restart"/>
            <w:shd w:val="clear" w:color="auto" w:fill="1077A9"/>
          </w:tcPr>
          <w:p>
            <w:pPr>
              <w:jc w:val="right"/>
              <w:ind w:right="8"/>
              <w:spacing w:after="0"/>
              <w:rPr>
                <w:sz w:val="20"/>
                <w:szCs w:val="20"/>
                <w:color w:val="auto"/>
              </w:rPr>
            </w:pPr>
            <w:r>
              <w:rPr>
                <w:rFonts w:ascii="Arial" w:cs="Arial" w:eastAsia="Arial" w:hAnsi="Arial"/>
                <w:sz w:val="14"/>
                <w:szCs w:val="14"/>
                <w:color w:val="FFFFFF"/>
              </w:rPr>
              <w:t>Threshold (#)</w:t>
            </w:r>
          </w:p>
        </w:tc>
        <w:tc>
          <w:tcPr>
            <w:tcW w:w="102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Target (#)</w:t>
            </w:r>
          </w:p>
        </w:tc>
        <w:tc>
          <w:tcPr>
            <w:tcW w:w="1000" w:type="dxa"/>
            <w:vAlign w:val="bottom"/>
            <w:vMerge w:val="restart"/>
            <w:shd w:val="clear" w:color="auto" w:fill="1077A9"/>
          </w:tcPr>
          <w:p>
            <w:pPr>
              <w:jc w:val="right"/>
              <w:ind w:right="8"/>
              <w:spacing w:after="0"/>
              <w:rPr>
                <w:sz w:val="20"/>
                <w:szCs w:val="20"/>
                <w:color w:val="auto"/>
              </w:rPr>
            </w:pPr>
            <w:r>
              <w:rPr>
                <w:rFonts w:ascii="Arial" w:cs="Arial" w:eastAsia="Arial" w:hAnsi="Arial"/>
                <w:sz w:val="14"/>
                <w:szCs w:val="14"/>
                <w:color w:val="FFFFFF"/>
              </w:rPr>
              <w:t>Maximum (#)</w:t>
            </w:r>
          </w:p>
        </w:tc>
        <w:tc>
          <w:tcPr>
            <w:tcW w:w="98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Number of</w:t>
            </w:r>
          </w:p>
        </w:tc>
        <w:tc>
          <w:tcPr>
            <w:tcW w:w="1020" w:type="dxa"/>
            <w:vAlign w:val="bottom"/>
            <w:shd w:val="clear" w:color="auto" w:fill="1077A9"/>
          </w:tcPr>
          <w:p>
            <w:pPr>
              <w:jc w:val="center"/>
              <w:spacing w:after="0"/>
              <w:rPr>
                <w:sz w:val="20"/>
                <w:szCs w:val="20"/>
                <w:color w:val="auto"/>
              </w:rPr>
            </w:pPr>
            <w:r>
              <w:rPr>
                <w:rFonts w:ascii="Arial" w:cs="Arial" w:eastAsia="Arial" w:hAnsi="Arial"/>
                <w:sz w:val="14"/>
                <w:szCs w:val="14"/>
                <w:color w:val="FFFFFF"/>
                <w:w w:val="99"/>
              </w:rPr>
              <w:t>Fair</w:t>
            </w:r>
          </w:p>
        </w:tc>
        <w:tc>
          <w:tcPr>
            <w:tcW w:w="0" w:type="dxa"/>
            <w:vAlign w:val="bottom"/>
          </w:tcPr>
          <w:p>
            <w:pPr>
              <w:spacing w:after="0"/>
              <w:rPr>
                <w:sz w:val="1"/>
                <w:szCs w:val="1"/>
                <w:color w:val="auto"/>
              </w:rPr>
            </w:pPr>
          </w:p>
        </w:tc>
      </w:tr>
      <w:tr>
        <w:trPr>
          <w:trHeight w:val="105"/>
        </w:trPr>
        <w:tc>
          <w:tcPr>
            <w:tcW w:w="2160" w:type="dxa"/>
            <w:vAlign w:val="bottom"/>
            <w:vMerge w:val="continue"/>
            <w:shd w:val="clear" w:color="auto" w:fill="1077A9"/>
          </w:tcPr>
          <w:p>
            <w:pPr>
              <w:spacing w:after="0"/>
              <w:rPr>
                <w:sz w:val="9"/>
                <w:szCs w:val="9"/>
                <w:color w:val="auto"/>
              </w:rPr>
            </w:pPr>
          </w:p>
        </w:tc>
        <w:tc>
          <w:tcPr>
            <w:tcW w:w="1000" w:type="dxa"/>
            <w:vAlign w:val="bottom"/>
            <w:vMerge w:val="continue"/>
            <w:shd w:val="clear" w:color="auto" w:fill="1077A9"/>
          </w:tcPr>
          <w:p>
            <w:pPr>
              <w:spacing w:after="0"/>
              <w:rPr>
                <w:sz w:val="9"/>
                <w:szCs w:val="9"/>
                <w:color w:val="auto"/>
              </w:rPr>
            </w:pPr>
          </w:p>
        </w:tc>
        <w:tc>
          <w:tcPr>
            <w:tcW w:w="1020" w:type="dxa"/>
            <w:vAlign w:val="bottom"/>
            <w:vMerge w:val="continue"/>
            <w:shd w:val="clear" w:color="auto" w:fill="1077A9"/>
          </w:tcPr>
          <w:p>
            <w:pPr>
              <w:spacing w:after="0"/>
              <w:rPr>
                <w:sz w:val="9"/>
                <w:szCs w:val="9"/>
                <w:color w:val="auto"/>
              </w:rPr>
            </w:pPr>
          </w:p>
        </w:tc>
        <w:tc>
          <w:tcPr>
            <w:tcW w:w="940" w:type="dxa"/>
            <w:vAlign w:val="bottom"/>
            <w:vMerge w:val="continue"/>
            <w:shd w:val="clear" w:color="auto" w:fill="1077A9"/>
          </w:tcPr>
          <w:p>
            <w:pPr>
              <w:spacing w:after="0"/>
              <w:rPr>
                <w:sz w:val="9"/>
                <w:szCs w:val="9"/>
                <w:color w:val="auto"/>
              </w:rPr>
            </w:pPr>
          </w:p>
        </w:tc>
        <w:tc>
          <w:tcPr>
            <w:tcW w:w="1080" w:type="dxa"/>
            <w:vAlign w:val="bottom"/>
            <w:vMerge w:val="continue"/>
            <w:shd w:val="clear" w:color="auto" w:fill="1077A9"/>
          </w:tcPr>
          <w:p>
            <w:pPr>
              <w:spacing w:after="0"/>
              <w:rPr>
                <w:sz w:val="9"/>
                <w:szCs w:val="9"/>
                <w:color w:val="auto"/>
              </w:rPr>
            </w:pPr>
          </w:p>
        </w:tc>
        <w:tc>
          <w:tcPr>
            <w:tcW w:w="1020" w:type="dxa"/>
            <w:vAlign w:val="bottom"/>
            <w:vMerge w:val="continue"/>
            <w:shd w:val="clear" w:color="auto" w:fill="1077A9"/>
          </w:tcPr>
          <w:p>
            <w:pPr>
              <w:spacing w:after="0"/>
              <w:rPr>
                <w:sz w:val="9"/>
                <w:szCs w:val="9"/>
                <w:color w:val="auto"/>
              </w:rPr>
            </w:pPr>
          </w:p>
        </w:tc>
        <w:tc>
          <w:tcPr>
            <w:tcW w:w="1020" w:type="dxa"/>
            <w:vAlign w:val="bottom"/>
            <w:vMerge w:val="continue"/>
            <w:shd w:val="clear" w:color="auto" w:fill="1077A9"/>
          </w:tcPr>
          <w:p>
            <w:pPr>
              <w:spacing w:after="0"/>
              <w:rPr>
                <w:sz w:val="9"/>
                <w:szCs w:val="9"/>
                <w:color w:val="auto"/>
              </w:rPr>
            </w:pPr>
          </w:p>
        </w:tc>
        <w:tc>
          <w:tcPr>
            <w:tcW w:w="1000" w:type="dxa"/>
            <w:vAlign w:val="bottom"/>
            <w:vMerge w:val="continue"/>
            <w:shd w:val="clear" w:color="auto" w:fill="1077A9"/>
          </w:tcPr>
          <w:p>
            <w:pPr>
              <w:spacing w:after="0"/>
              <w:rPr>
                <w:sz w:val="9"/>
                <w:szCs w:val="9"/>
                <w:color w:val="auto"/>
              </w:rPr>
            </w:pPr>
          </w:p>
        </w:tc>
        <w:tc>
          <w:tcPr>
            <w:tcW w:w="980" w:type="dxa"/>
            <w:vAlign w:val="bottom"/>
            <w:vMerge w:val="restart"/>
            <w:shd w:val="clear" w:color="auto" w:fill="1077A9"/>
          </w:tcPr>
          <w:p>
            <w:pPr>
              <w:jc w:val="center"/>
              <w:spacing w:after="0" w:line="149" w:lineRule="exact"/>
              <w:rPr>
                <w:sz w:val="20"/>
                <w:szCs w:val="20"/>
                <w:color w:val="auto"/>
              </w:rPr>
            </w:pPr>
            <w:r>
              <w:rPr>
                <w:rFonts w:ascii="Arial" w:cs="Arial" w:eastAsia="Arial" w:hAnsi="Arial"/>
                <w:sz w:val="14"/>
                <w:szCs w:val="14"/>
                <w:color w:val="FFFFFF"/>
              </w:rPr>
              <w:t>Shares of</w:t>
            </w:r>
          </w:p>
        </w:tc>
        <w:tc>
          <w:tcPr>
            <w:tcW w:w="1020" w:type="dxa"/>
            <w:vAlign w:val="bottom"/>
            <w:vMerge w:val="restart"/>
            <w:shd w:val="clear" w:color="auto" w:fill="1077A9"/>
          </w:tcPr>
          <w:p>
            <w:pPr>
              <w:jc w:val="right"/>
              <w:spacing w:after="0" w:line="149" w:lineRule="exact"/>
              <w:rPr>
                <w:sz w:val="20"/>
                <w:szCs w:val="20"/>
                <w:color w:val="auto"/>
              </w:rPr>
            </w:pPr>
            <w:r>
              <w:rPr>
                <w:rFonts w:ascii="Arial" w:cs="Arial" w:eastAsia="Arial" w:hAnsi="Arial"/>
                <w:sz w:val="14"/>
                <w:szCs w:val="14"/>
                <w:color w:val="FFFFFF"/>
              </w:rPr>
              <w:t>Value of Stock</w:t>
            </w:r>
          </w:p>
        </w:tc>
        <w:tc>
          <w:tcPr>
            <w:tcW w:w="0" w:type="dxa"/>
            <w:vAlign w:val="bottom"/>
          </w:tcPr>
          <w:p>
            <w:pPr>
              <w:spacing w:after="0"/>
              <w:rPr>
                <w:sz w:val="1"/>
                <w:szCs w:val="1"/>
                <w:color w:val="auto"/>
              </w:rPr>
            </w:pPr>
          </w:p>
        </w:tc>
      </w:tr>
      <w:tr>
        <w:trPr>
          <w:trHeight w:val="44"/>
        </w:trPr>
        <w:tc>
          <w:tcPr>
            <w:tcW w:w="2160" w:type="dxa"/>
            <w:vAlign w:val="bottom"/>
            <w:shd w:val="clear" w:color="auto" w:fill="1077A9"/>
          </w:tcPr>
          <w:p>
            <w:pPr>
              <w:spacing w:after="0"/>
              <w:rPr>
                <w:sz w:val="3"/>
                <w:szCs w:val="3"/>
                <w:color w:val="auto"/>
              </w:rPr>
            </w:pPr>
          </w:p>
        </w:tc>
        <w:tc>
          <w:tcPr>
            <w:tcW w:w="1000" w:type="dxa"/>
            <w:vAlign w:val="bottom"/>
            <w:shd w:val="clear" w:color="auto" w:fill="1077A9"/>
          </w:tcPr>
          <w:p>
            <w:pPr>
              <w:spacing w:after="0"/>
              <w:rPr>
                <w:sz w:val="3"/>
                <w:szCs w:val="3"/>
                <w:color w:val="auto"/>
              </w:rPr>
            </w:pPr>
          </w:p>
        </w:tc>
        <w:tc>
          <w:tcPr>
            <w:tcW w:w="1020" w:type="dxa"/>
            <w:vAlign w:val="bottom"/>
            <w:shd w:val="clear" w:color="auto" w:fill="1077A9"/>
          </w:tcPr>
          <w:p>
            <w:pPr>
              <w:spacing w:after="0"/>
              <w:rPr>
                <w:sz w:val="3"/>
                <w:szCs w:val="3"/>
                <w:color w:val="auto"/>
              </w:rPr>
            </w:pPr>
          </w:p>
        </w:tc>
        <w:tc>
          <w:tcPr>
            <w:tcW w:w="940" w:type="dxa"/>
            <w:vAlign w:val="bottom"/>
            <w:shd w:val="clear" w:color="auto" w:fill="1077A9"/>
          </w:tcPr>
          <w:p>
            <w:pPr>
              <w:spacing w:after="0"/>
              <w:rPr>
                <w:sz w:val="3"/>
                <w:szCs w:val="3"/>
                <w:color w:val="auto"/>
              </w:rPr>
            </w:pPr>
          </w:p>
        </w:tc>
        <w:tc>
          <w:tcPr>
            <w:tcW w:w="1080" w:type="dxa"/>
            <w:vAlign w:val="bottom"/>
            <w:shd w:val="clear" w:color="auto" w:fill="1077A9"/>
          </w:tcPr>
          <w:p>
            <w:pPr>
              <w:spacing w:after="0"/>
              <w:rPr>
                <w:sz w:val="3"/>
                <w:szCs w:val="3"/>
                <w:color w:val="auto"/>
              </w:rPr>
            </w:pPr>
          </w:p>
        </w:tc>
        <w:tc>
          <w:tcPr>
            <w:tcW w:w="1020" w:type="dxa"/>
            <w:vAlign w:val="bottom"/>
            <w:shd w:val="clear" w:color="auto" w:fill="1077A9"/>
          </w:tcPr>
          <w:p>
            <w:pPr>
              <w:spacing w:after="0"/>
              <w:rPr>
                <w:sz w:val="3"/>
                <w:szCs w:val="3"/>
                <w:color w:val="auto"/>
              </w:rPr>
            </w:pPr>
          </w:p>
        </w:tc>
        <w:tc>
          <w:tcPr>
            <w:tcW w:w="1020" w:type="dxa"/>
            <w:vAlign w:val="bottom"/>
            <w:shd w:val="clear" w:color="auto" w:fill="1077A9"/>
          </w:tcPr>
          <w:p>
            <w:pPr>
              <w:spacing w:after="0"/>
              <w:rPr>
                <w:sz w:val="3"/>
                <w:szCs w:val="3"/>
                <w:color w:val="auto"/>
              </w:rPr>
            </w:pPr>
          </w:p>
        </w:tc>
        <w:tc>
          <w:tcPr>
            <w:tcW w:w="1000" w:type="dxa"/>
            <w:vAlign w:val="bottom"/>
            <w:shd w:val="clear" w:color="auto" w:fill="1077A9"/>
          </w:tcPr>
          <w:p>
            <w:pPr>
              <w:spacing w:after="0"/>
              <w:rPr>
                <w:sz w:val="3"/>
                <w:szCs w:val="3"/>
                <w:color w:val="auto"/>
              </w:rPr>
            </w:pPr>
          </w:p>
        </w:tc>
        <w:tc>
          <w:tcPr>
            <w:tcW w:w="980" w:type="dxa"/>
            <w:vAlign w:val="bottom"/>
            <w:vMerge w:val="continue"/>
            <w:shd w:val="clear" w:color="auto" w:fill="1077A9"/>
          </w:tcPr>
          <w:p>
            <w:pPr>
              <w:spacing w:after="0"/>
              <w:rPr>
                <w:sz w:val="3"/>
                <w:szCs w:val="3"/>
                <w:color w:val="auto"/>
              </w:rPr>
            </w:pPr>
          </w:p>
        </w:tc>
        <w:tc>
          <w:tcPr>
            <w:tcW w:w="1020" w:type="dxa"/>
            <w:vAlign w:val="bottom"/>
            <w:vMerge w:val="continue"/>
            <w:shd w:val="clear" w:color="auto" w:fill="1077A9"/>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1077A9"/>
          </w:tcPr>
          <w:p>
            <w:pPr>
              <w:spacing w:after="0"/>
              <w:rPr>
                <w:sz w:val="14"/>
                <w:szCs w:val="14"/>
                <w:color w:val="auto"/>
              </w:rPr>
            </w:pPr>
          </w:p>
        </w:tc>
        <w:tc>
          <w:tcPr>
            <w:tcW w:w="1000" w:type="dxa"/>
            <w:vAlign w:val="bottom"/>
            <w:shd w:val="clear" w:color="auto" w:fill="1077A9"/>
          </w:tcPr>
          <w:p>
            <w:pPr>
              <w:spacing w:after="0"/>
              <w:rPr>
                <w:sz w:val="14"/>
                <w:szCs w:val="14"/>
                <w:color w:val="auto"/>
              </w:rPr>
            </w:pPr>
          </w:p>
        </w:tc>
        <w:tc>
          <w:tcPr>
            <w:tcW w:w="1020" w:type="dxa"/>
            <w:vAlign w:val="bottom"/>
            <w:shd w:val="clear" w:color="auto" w:fill="1077A9"/>
          </w:tcPr>
          <w:p>
            <w:pPr>
              <w:spacing w:after="0"/>
              <w:rPr>
                <w:sz w:val="14"/>
                <w:szCs w:val="14"/>
                <w:color w:val="auto"/>
              </w:rPr>
            </w:pPr>
          </w:p>
        </w:tc>
        <w:tc>
          <w:tcPr>
            <w:tcW w:w="940" w:type="dxa"/>
            <w:vAlign w:val="bottom"/>
            <w:shd w:val="clear" w:color="auto" w:fill="1077A9"/>
          </w:tcPr>
          <w:p>
            <w:pPr>
              <w:spacing w:after="0"/>
              <w:rPr>
                <w:sz w:val="14"/>
                <w:szCs w:val="14"/>
                <w:color w:val="auto"/>
              </w:rPr>
            </w:pPr>
          </w:p>
        </w:tc>
        <w:tc>
          <w:tcPr>
            <w:tcW w:w="1080" w:type="dxa"/>
            <w:vAlign w:val="bottom"/>
            <w:shd w:val="clear" w:color="auto" w:fill="1077A9"/>
          </w:tcPr>
          <w:p>
            <w:pPr>
              <w:spacing w:after="0"/>
              <w:rPr>
                <w:sz w:val="14"/>
                <w:szCs w:val="14"/>
                <w:color w:val="auto"/>
              </w:rPr>
            </w:pPr>
          </w:p>
        </w:tc>
        <w:tc>
          <w:tcPr>
            <w:tcW w:w="1020" w:type="dxa"/>
            <w:vAlign w:val="bottom"/>
            <w:shd w:val="clear" w:color="auto" w:fill="1077A9"/>
          </w:tcPr>
          <w:p>
            <w:pPr>
              <w:spacing w:after="0"/>
              <w:rPr>
                <w:sz w:val="14"/>
                <w:szCs w:val="14"/>
                <w:color w:val="auto"/>
              </w:rPr>
            </w:pPr>
          </w:p>
        </w:tc>
        <w:tc>
          <w:tcPr>
            <w:tcW w:w="1020" w:type="dxa"/>
            <w:vAlign w:val="bottom"/>
            <w:shd w:val="clear" w:color="auto" w:fill="1077A9"/>
          </w:tcPr>
          <w:p>
            <w:pPr>
              <w:spacing w:after="0"/>
              <w:rPr>
                <w:sz w:val="14"/>
                <w:szCs w:val="14"/>
                <w:color w:val="auto"/>
              </w:rPr>
            </w:pPr>
          </w:p>
        </w:tc>
        <w:tc>
          <w:tcPr>
            <w:tcW w:w="1000" w:type="dxa"/>
            <w:vAlign w:val="bottom"/>
            <w:shd w:val="clear" w:color="auto" w:fill="1077A9"/>
          </w:tcPr>
          <w:p>
            <w:pPr>
              <w:spacing w:after="0"/>
              <w:rPr>
                <w:sz w:val="14"/>
                <w:szCs w:val="14"/>
                <w:color w:val="auto"/>
              </w:rPr>
            </w:pPr>
          </w:p>
        </w:tc>
        <w:tc>
          <w:tcPr>
            <w:tcW w:w="98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Stock</w:t>
            </w:r>
          </w:p>
        </w:tc>
        <w:tc>
          <w:tcPr>
            <w:tcW w:w="1020" w:type="dxa"/>
            <w:vAlign w:val="bottom"/>
            <w:shd w:val="clear" w:color="auto" w:fill="1077A9"/>
          </w:tcPr>
          <w:p>
            <w:pPr>
              <w:jc w:val="center"/>
              <w:spacing w:after="0" w:line="171" w:lineRule="exact"/>
              <w:rPr>
                <w:sz w:val="20"/>
                <w:szCs w:val="20"/>
                <w:color w:val="auto"/>
              </w:rPr>
            </w:pPr>
            <w:r>
              <w:rPr>
                <w:rFonts w:ascii="Arial" w:cs="Arial" w:eastAsia="Arial" w:hAnsi="Arial"/>
                <w:sz w:val="11"/>
                <w:szCs w:val="11"/>
                <w:color w:val="FFFFFF"/>
              </w:rPr>
              <w:t>Awards ($)</w:t>
            </w:r>
            <w:r>
              <w:rPr>
                <w:rFonts w:ascii="Arial" w:cs="Arial" w:eastAsia="Arial" w:hAnsi="Arial"/>
                <w:sz w:val="19"/>
                <w:szCs w:val="19"/>
                <w:color w:val="FFFFFF"/>
                <w:vertAlign w:val="superscript"/>
              </w:rPr>
              <w:t>3</w:t>
            </w:r>
          </w:p>
        </w:tc>
        <w:tc>
          <w:tcPr>
            <w:tcW w:w="0" w:type="dxa"/>
            <w:vAlign w:val="bottom"/>
          </w:tcPr>
          <w:p>
            <w:pPr>
              <w:spacing w:after="0"/>
              <w:rPr>
                <w:sz w:val="1"/>
                <w:szCs w:val="1"/>
                <w:color w:val="auto"/>
              </w:rPr>
            </w:pPr>
          </w:p>
        </w:tc>
      </w:tr>
      <w:tr>
        <w:trPr>
          <w:trHeight w:val="230"/>
        </w:trPr>
        <w:tc>
          <w:tcPr>
            <w:tcW w:w="2160" w:type="dxa"/>
            <w:vAlign w:val="bottom"/>
            <w:shd w:val="clear" w:color="auto" w:fill="1077A9"/>
          </w:tcPr>
          <w:p>
            <w:pPr>
              <w:spacing w:after="0"/>
              <w:rPr>
                <w:sz w:val="19"/>
                <w:szCs w:val="19"/>
                <w:color w:val="auto"/>
              </w:rPr>
            </w:pPr>
          </w:p>
        </w:tc>
        <w:tc>
          <w:tcPr>
            <w:tcW w:w="1000" w:type="dxa"/>
            <w:vAlign w:val="bottom"/>
            <w:shd w:val="clear" w:color="auto" w:fill="1077A9"/>
          </w:tcPr>
          <w:p>
            <w:pPr>
              <w:spacing w:after="0"/>
              <w:rPr>
                <w:sz w:val="19"/>
                <w:szCs w:val="19"/>
                <w:color w:val="auto"/>
              </w:rPr>
            </w:pPr>
          </w:p>
        </w:tc>
        <w:tc>
          <w:tcPr>
            <w:tcW w:w="1020" w:type="dxa"/>
            <w:vAlign w:val="bottom"/>
            <w:shd w:val="clear" w:color="auto" w:fill="1077A9"/>
          </w:tcPr>
          <w:p>
            <w:pPr>
              <w:spacing w:after="0"/>
              <w:rPr>
                <w:sz w:val="19"/>
                <w:szCs w:val="19"/>
                <w:color w:val="auto"/>
              </w:rPr>
            </w:pPr>
          </w:p>
        </w:tc>
        <w:tc>
          <w:tcPr>
            <w:tcW w:w="940" w:type="dxa"/>
            <w:vAlign w:val="bottom"/>
            <w:shd w:val="clear" w:color="auto" w:fill="1077A9"/>
          </w:tcPr>
          <w:p>
            <w:pPr>
              <w:spacing w:after="0"/>
              <w:rPr>
                <w:sz w:val="19"/>
                <w:szCs w:val="19"/>
                <w:color w:val="auto"/>
              </w:rPr>
            </w:pPr>
          </w:p>
        </w:tc>
        <w:tc>
          <w:tcPr>
            <w:tcW w:w="1080" w:type="dxa"/>
            <w:vAlign w:val="bottom"/>
            <w:shd w:val="clear" w:color="auto" w:fill="1077A9"/>
          </w:tcPr>
          <w:p>
            <w:pPr>
              <w:spacing w:after="0"/>
              <w:rPr>
                <w:sz w:val="19"/>
                <w:szCs w:val="19"/>
                <w:color w:val="auto"/>
              </w:rPr>
            </w:pPr>
          </w:p>
        </w:tc>
        <w:tc>
          <w:tcPr>
            <w:tcW w:w="1020" w:type="dxa"/>
            <w:vAlign w:val="bottom"/>
            <w:shd w:val="clear" w:color="auto" w:fill="1077A9"/>
          </w:tcPr>
          <w:p>
            <w:pPr>
              <w:spacing w:after="0"/>
              <w:rPr>
                <w:sz w:val="19"/>
                <w:szCs w:val="19"/>
                <w:color w:val="auto"/>
              </w:rPr>
            </w:pPr>
          </w:p>
        </w:tc>
        <w:tc>
          <w:tcPr>
            <w:tcW w:w="1020" w:type="dxa"/>
            <w:vAlign w:val="bottom"/>
            <w:shd w:val="clear" w:color="auto" w:fill="1077A9"/>
          </w:tcPr>
          <w:p>
            <w:pPr>
              <w:spacing w:after="0"/>
              <w:rPr>
                <w:sz w:val="19"/>
                <w:szCs w:val="19"/>
                <w:color w:val="auto"/>
              </w:rPr>
            </w:pPr>
          </w:p>
        </w:tc>
        <w:tc>
          <w:tcPr>
            <w:tcW w:w="1000" w:type="dxa"/>
            <w:vAlign w:val="bottom"/>
            <w:shd w:val="clear" w:color="auto" w:fill="1077A9"/>
          </w:tcPr>
          <w:p>
            <w:pPr>
              <w:spacing w:after="0"/>
              <w:rPr>
                <w:sz w:val="19"/>
                <w:szCs w:val="19"/>
                <w:color w:val="auto"/>
              </w:rPr>
            </w:pPr>
          </w:p>
        </w:tc>
        <w:tc>
          <w:tcPr>
            <w:tcW w:w="980" w:type="dxa"/>
            <w:vAlign w:val="bottom"/>
            <w:shd w:val="clear" w:color="auto" w:fill="1077A9"/>
          </w:tcPr>
          <w:p>
            <w:pPr>
              <w:jc w:val="center"/>
              <w:spacing w:after="0" w:line="230" w:lineRule="exact"/>
              <w:rPr>
                <w:sz w:val="20"/>
                <w:szCs w:val="20"/>
                <w:color w:val="auto"/>
              </w:rPr>
            </w:pPr>
            <w:r>
              <w:rPr>
                <w:rFonts w:ascii="Arial" w:cs="Arial" w:eastAsia="Arial" w:hAnsi="Arial"/>
                <w:sz w:val="14"/>
                <w:szCs w:val="14"/>
                <w:color w:val="FFFFFF"/>
              </w:rPr>
              <w:t>or Units (#)</w:t>
            </w:r>
            <w:r>
              <w:rPr>
                <w:rFonts w:ascii="Arial" w:cs="Arial" w:eastAsia="Arial" w:hAnsi="Arial"/>
                <w:sz w:val="23"/>
                <w:szCs w:val="23"/>
                <w:color w:val="FFFFFF"/>
                <w:vertAlign w:val="superscript"/>
              </w:rPr>
              <w:t>2</w:t>
            </w:r>
          </w:p>
        </w:tc>
        <w:tc>
          <w:tcPr>
            <w:tcW w:w="1020" w:type="dxa"/>
            <w:vAlign w:val="bottom"/>
            <w:shd w:val="clear" w:color="auto" w:fill="1077A9"/>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100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$ 397,500</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$ 795,000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$ 1,192,500</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29,940</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56,138</w:t>
            </w:r>
          </w:p>
        </w:tc>
        <w:tc>
          <w:tcPr>
            <w:tcW w:w="980" w:type="dxa"/>
            <w:vAlign w:val="bottom"/>
          </w:tcPr>
          <w:p>
            <w:pPr>
              <w:spacing w:after="0"/>
              <w:rPr>
                <w:sz w:val="16"/>
                <w:szCs w:val="16"/>
                <w:color w:val="auto"/>
              </w:rPr>
            </w:pP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$ 542,812</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12,825</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232,517</w:t>
            </w: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12/1/2020</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4,684</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116,257</w:t>
            </w:r>
          </w:p>
        </w:tc>
        <w:tc>
          <w:tcPr>
            <w:tcW w:w="0" w:type="dxa"/>
            <w:vAlign w:val="bottom"/>
          </w:tcPr>
          <w:p>
            <w:pPr>
              <w:spacing w:after="0"/>
              <w:rPr>
                <w:sz w:val="1"/>
                <w:szCs w:val="1"/>
                <w:color w:val="auto"/>
              </w:rPr>
            </w:pPr>
          </w:p>
        </w:tc>
      </w:tr>
      <w:tr>
        <w:trPr>
          <w:trHeight w:val="189"/>
        </w:trPr>
        <w:tc>
          <w:tcPr>
            <w:tcW w:w="2160" w:type="dxa"/>
            <w:vAlign w:val="bottom"/>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1000" w:type="dxa"/>
            <w:vAlign w:val="bottom"/>
            <w:shd w:val="clear" w:color="auto" w:fill="E5E6E6"/>
          </w:tcPr>
          <w:p>
            <w:pPr>
              <w:spacing w:after="0"/>
              <w:rPr>
                <w:sz w:val="16"/>
                <w:szCs w:val="16"/>
                <w:color w:val="auto"/>
              </w:rPr>
            </w:pPr>
          </w:p>
        </w:tc>
        <w:tc>
          <w:tcPr>
            <w:tcW w:w="10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138,125</w:t>
            </w:r>
          </w:p>
        </w:tc>
        <w:tc>
          <w:tcPr>
            <w:tcW w:w="940" w:type="dxa"/>
            <w:vAlign w:val="bottom"/>
            <w:shd w:val="clear" w:color="auto" w:fill="E5E6E6"/>
          </w:tcPr>
          <w:p>
            <w:pPr>
              <w:jc w:val="right"/>
              <w:ind w:right="68"/>
              <w:spacing w:after="0"/>
              <w:rPr>
                <w:sz w:val="20"/>
                <w:szCs w:val="20"/>
                <w:color w:val="auto"/>
              </w:rPr>
            </w:pPr>
            <w:r>
              <w:rPr>
                <w:rFonts w:ascii="Arial" w:cs="Arial" w:eastAsia="Arial" w:hAnsi="Arial"/>
                <w:sz w:val="14"/>
                <w:szCs w:val="14"/>
                <w:color w:val="auto"/>
              </w:rPr>
              <w:t>276,250</w:t>
            </w:r>
          </w:p>
        </w:tc>
        <w:tc>
          <w:tcPr>
            <w:tcW w:w="108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414,375</w:t>
            </w:r>
          </w:p>
        </w:tc>
        <w:tc>
          <w:tcPr>
            <w:tcW w:w="1020" w:type="dxa"/>
            <w:vAlign w:val="bottom"/>
            <w:shd w:val="clear" w:color="auto" w:fill="E5E6E6"/>
          </w:tcPr>
          <w:p>
            <w:pPr>
              <w:spacing w:after="0"/>
              <w:rPr>
                <w:sz w:val="16"/>
                <w:szCs w:val="16"/>
                <w:color w:val="auto"/>
              </w:rPr>
            </w:pPr>
          </w:p>
        </w:tc>
        <w:tc>
          <w:tcPr>
            <w:tcW w:w="1020" w:type="dxa"/>
            <w:vAlign w:val="bottom"/>
            <w:shd w:val="clear" w:color="auto" w:fill="E5E6E6"/>
          </w:tcPr>
          <w:p>
            <w:pPr>
              <w:spacing w:after="0"/>
              <w:rPr>
                <w:sz w:val="16"/>
                <w:szCs w:val="16"/>
                <w:color w:val="auto"/>
              </w:rPr>
            </w:pPr>
          </w:p>
        </w:tc>
        <w:tc>
          <w:tcPr>
            <w:tcW w:w="1000" w:type="dxa"/>
            <w:vAlign w:val="bottom"/>
            <w:shd w:val="clear" w:color="auto" w:fill="E5E6E6"/>
          </w:tcPr>
          <w:p>
            <w:pPr>
              <w:spacing w:after="0"/>
              <w:rPr>
                <w:sz w:val="16"/>
                <w:szCs w:val="16"/>
                <w:color w:val="auto"/>
              </w:rPr>
            </w:pPr>
          </w:p>
        </w:tc>
        <w:tc>
          <w:tcPr>
            <w:tcW w:w="980" w:type="dxa"/>
            <w:vAlign w:val="bottom"/>
            <w:shd w:val="clear" w:color="auto" w:fill="E5E6E6"/>
          </w:tcPr>
          <w:p>
            <w:pPr>
              <w:spacing w:after="0"/>
              <w:rPr>
                <w:sz w:val="16"/>
                <w:szCs w:val="16"/>
                <w:color w:val="auto"/>
              </w:rPr>
            </w:pPr>
          </w:p>
        </w:tc>
        <w:tc>
          <w:tcPr>
            <w:tcW w:w="1020" w:type="dxa"/>
            <w:vAlign w:val="bottom"/>
            <w:shd w:val="clear" w:color="auto" w:fill="E5E6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E5E6E6"/>
          </w:tcPr>
          <w:p>
            <w:pPr>
              <w:spacing w:after="0"/>
              <w:rPr>
                <w:sz w:val="16"/>
                <w:szCs w:val="16"/>
                <w:color w:val="auto"/>
              </w:rPr>
            </w:pPr>
          </w:p>
        </w:tc>
        <w:tc>
          <w:tcPr>
            <w:tcW w:w="100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shd w:val="clear" w:color="auto" w:fill="E5E6E6"/>
          </w:tcPr>
          <w:p>
            <w:pPr>
              <w:spacing w:after="0"/>
              <w:rPr>
                <w:sz w:val="16"/>
                <w:szCs w:val="16"/>
                <w:color w:val="auto"/>
              </w:rPr>
            </w:pPr>
          </w:p>
        </w:tc>
        <w:tc>
          <w:tcPr>
            <w:tcW w:w="940" w:type="dxa"/>
            <w:vAlign w:val="bottom"/>
            <w:shd w:val="clear" w:color="auto" w:fill="E5E6E6"/>
          </w:tcPr>
          <w:p>
            <w:pPr>
              <w:spacing w:after="0"/>
              <w:rPr>
                <w:sz w:val="16"/>
                <w:szCs w:val="16"/>
                <w:color w:val="auto"/>
              </w:rPr>
            </w:pPr>
          </w:p>
        </w:tc>
        <w:tc>
          <w:tcPr>
            <w:tcW w:w="1080" w:type="dxa"/>
            <w:vAlign w:val="bottom"/>
            <w:shd w:val="clear" w:color="auto" w:fill="E5E6E6"/>
          </w:tcPr>
          <w:p>
            <w:pPr>
              <w:spacing w:after="0"/>
              <w:rPr>
                <w:sz w:val="16"/>
                <w:szCs w:val="16"/>
                <w:color w:val="auto"/>
              </w:rPr>
            </w:pPr>
          </w:p>
        </w:tc>
        <w:tc>
          <w:tcPr>
            <w:tcW w:w="10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11,358</w:t>
            </w:r>
          </w:p>
        </w:tc>
        <w:tc>
          <w:tcPr>
            <w:tcW w:w="100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21,296</w:t>
            </w:r>
          </w:p>
        </w:tc>
        <w:tc>
          <w:tcPr>
            <w:tcW w:w="980" w:type="dxa"/>
            <w:vAlign w:val="bottom"/>
            <w:shd w:val="clear" w:color="auto" w:fill="E5E6E6"/>
          </w:tcPr>
          <w:p>
            <w:pPr>
              <w:spacing w:after="0"/>
              <w:rPr>
                <w:sz w:val="16"/>
                <w:szCs w:val="16"/>
                <w:color w:val="auto"/>
              </w:rPr>
            </w:pPr>
          </w:p>
        </w:tc>
        <w:tc>
          <w:tcPr>
            <w:tcW w:w="1020" w:type="dxa"/>
            <w:vAlign w:val="bottom"/>
            <w:shd w:val="clear" w:color="auto" w:fill="E5E6E6"/>
          </w:tcPr>
          <w:p>
            <w:pPr>
              <w:jc w:val="right"/>
              <w:ind w:right="149"/>
              <w:spacing w:after="0"/>
              <w:rPr>
                <w:sz w:val="20"/>
                <w:szCs w:val="20"/>
                <w:color w:val="auto"/>
              </w:rPr>
            </w:pPr>
            <w:r>
              <w:rPr>
                <w:rFonts w:ascii="Arial" w:cs="Arial" w:eastAsia="Arial" w:hAnsi="Arial"/>
                <w:sz w:val="14"/>
                <w:szCs w:val="14"/>
                <w:color w:val="auto"/>
              </w:rPr>
              <w:t>205,921</w:t>
            </w:r>
          </w:p>
        </w:tc>
        <w:tc>
          <w:tcPr>
            <w:tcW w:w="0" w:type="dxa"/>
            <w:vAlign w:val="bottom"/>
          </w:tcPr>
          <w:p>
            <w:pPr>
              <w:spacing w:after="0"/>
              <w:rPr>
                <w:sz w:val="1"/>
                <w:szCs w:val="1"/>
                <w:color w:val="auto"/>
              </w:rPr>
            </w:pPr>
          </w:p>
        </w:tc>
      </w:tr>
      <w:tr>
        <w:trPr>
          <w:trHeight w:val="176"/>
        </w:trPr>
        <w:tc>
          <w:tcPr>
            <w:tcW w:w="2160" w:type="dxa"/>
            <w:vAlign w:val="bottom"/>
            <w:shd w:val="clear" w:color="auto" w:fill="E5E6E6"/>
          </w:tcPr>
          <w:p>
            <w:pPr>
              <w:spacing w:after="0"/>
              <w:rPr>
                <w:sz w:val="15"/>
                <w:szCs w:val="15"/>
                <w:color w:val="auto"/>
              </w:rPr>
            </w:pPr>
          </w:p>
        </w:tc>
        <w:tc>
          <w:tcPr>
            <w:tcW w:w="100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shd w:val="clear" w:color="auto" w:fill="E5E6E6"/>
          </w:tcPr>
          <w:p>
            <w:pPr>
              <w:spacing w:after="0"/>
              <w:rPr>
                <w:sz w:val="15"/>
                <w:szCs w:val="15"/>
                <w:color w:val="auto"/>
              </w:rPr>
            </w:pPr>
          </w:p>
        </w:tc>
        <w:tc>
          <w:tcPr>
            <w:tcW w:w="940" w:type="dxa"/>
            <w:vAlign w:val="bottom"/>
            <w:shd w:val="clear" w:color="auto" w:fill="E5E6E6"/>
          </w:tcPr>
          <w:p>
            <w:pPr>
              <w:spacing w:after="0"/>
              <w:rPr>
                <w:sz w:val="15"/>
                <w:szCs w:val="15"/>
                <w:color w:val="auto"/>
              </w:rPr>
            </w:pPr>
          </w:p>
        </w:tc>
        <w:tc>
          <w:tcPr>
            <w:tcW w:w="1080" w:type="dxa"/>
            <w:vAlign w:val="bottom"/>
            <w:shd w:val="clear" w:color="auto" w:fill="E5E6E6"/>
          </w:tcPr>
          <w:p>
            <w:pPr>
              <w:spacing w:after="0"/>
              <w:rPr>
                <w:sz w:val="15"/>
                <w:szCs w:val="15"/>
                <w:color w:val="auto"/>
              </w:rPr>
            </w:pPr>
          </w:p>
        </w:tc>
        <w:tc>
          <w:tcPr>
            <w:tcW w:w="1020" w:type="dxa"/>
            <w:vAlign w:val="bottom"/>
            <w:shd w:val="clear" w:color="auto" w:fill="E5E6E6"/>
          </w:tcPr>
          <w:p>
            <w:pPr>
              <w:spacing w:after="0"/>
              <w:rPr>
                <w:sz w:val="15"/>
                <w:szCs w:val="15"/>
                <w:color w:val="auto"/>
              </w:rPr>
            </w:pPr>
          </w:p>
        </w:tc>
        <w:tc>
          <w:tcPr>
            <w:tcW w:w="1020" w:type="dxa"/>
            <w:vAlign w:val="bottom"/>
            <w:shd w:val="clear" w:color="auto" w:fill="E5E6E6"/>
          </w:tcPr>
          <w:p>
            <w:pPr>
              <w:spacing w:after="0"/>
              <w:rPr>
                <w:sz w:val="15"/>
                <w:szCs w:val="15"/>
                <w:color w:val="auto"/>
              </w:rPr>
            </w:pPr>
          </w:p>
        </w:tc>
        <w:tc>
          <w:tcPr>
            <w:tcW w:w="1000" w:type="dxa"/>
            <w:vAlign w:val="bottom"/>
            <w:shd w:val="clear" w:color="auto" w:fill="E5E6E6"/>
          </w:tcPr>
          <w:p>
            <w:pPr>
              <w:spacing w:after="0"/>
              <w:rPr>
                <w:sz w:val="15"/>
                <w:szCs w:val="15"/>
                <w:color w:val="auto"/>
              </w:rPr>
            </w:pPr>
          </w:p>
        </w:tc>
        <w:tc>
          <w:tcPr>
            <w:tcW w:w="980" w:type="dxa"/>
            <w:vAlign w:val="bottom"/>
            <w:shd w:val="clear" w:color="auto" w:fill="E5E6E6"/>
          </w:tcPr>
          <w:p>
            <w:pPr>
              <w:jc w:val="right"/>
              <w:ind w:right="128"/>
              <w:spacing w:after="0"/>
              <w:rPr>
                <w:sz w:val="20"/>
                <w:szCs w:val="20"/>
                <w:color w:val="auto"/>
              </w:rPr>
            </w:pPr>
            <w:r>
              <w:rPr>
                <w:rFonts w:ascii="Arial" w:cs="Arial" w:eastAsia="Arial" w:hAnsi="Arial"/>
                <w:sz w:val="14"/>
                <w:szCs w:val="14"/>
                <w:color w:val="auto"/>
              </w:rPr>
              <w:t>4,865</w:t>
            </w:r>
          </w:p>
        </w:tc>
        <w:tc>
          <w:tcPr>
            <w:tcW w:w="1020" w:type="dxa"/>
            <w:vAlign w:val="bottom"/>
            <w:shd w:val="clear" w:color="auto" w:fill="E5E6E6"/>
          </w:tcPr>
          <w:p>
            <w:pPr>
              <w:jc w:val="right"/>
              <w:ind w:right="149"/>
              <w:spacing w:after="0"/>
              <w:rPr>
                <w:sz w:val="20"/>
                <w:szCs w:val="20"/>
                <w:color w:val="auto"/>
              </w:rPr>
            </w:pPr>
            <w:r>
              <w:rPr>
                <w:rFonts w:ascii="Arial" w:cs="Arial" w:eastAsia="Arial" w:hAnsi="Arial"/>
                <w:sz w:val="14"/>
                <w:szCs w:val="14"/>
                <w:color w:val="auto"/>
              </w:rPr>
              <w:t>88,202</w:t>
            </w:r>
          </w:p>
        </w:tc>
        <w:tc>
          <w:tcPr>
            <w:tcW w:w="0" w:type="dxa"/>
            <w:vAlign w:val="bottom"/>
          </w:tcPr>
          <w:p>
            <w:pPr>
              <w:spacing w:after="0"/>
              <w:rPr>
                <w:sz w:val="1"/>
                <w:szCs w:val="1"/>
                <w:color w:val="auto"/>
              </w:rPr>
            </w:pPr>
          </w:p>
        </w:tc>
      </w:tr>
      <w:tr>
        <w:trPr>
          <w:trHeight w:val="190"/>
        </w:trPr>
        <w:tc>
          <w:tcPr>
            <w:tcW w:w="216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100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138,125</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276,250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414,375</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8,924</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16,733</w:t>
            </w:r>
          </w:p>
        </w:tc>
        <w:tc>
          <w:tcPr>
            <w:tcW w:w="980" w:type="dxa"/>
            <w:vAlign w:val="bottom"/>
          </w:tcPr>
          <w:p>
            <w:pPr>
              <w:spacing w:after="0"/>
              <w:rPr>
                <w:sz w:val="16"/>
                <w:szCs w:val="16"/>
                <w:color w:val="auto"/>
              </w:rPr>
            </w:pP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161,792</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3,823</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69,311</w:t>
            </w: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12/1/2020</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1,552</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38,521</w:t>
            </w:r>
          </w:p>
        </w:tc>
        <w:tc>
          <w:tcPr>
            <w:tcW w:w="0" w:type="dxa"/>
            <w:vAlign w:val="bottom"/>
          </w:tcPr>
          <w:p>
            <w:pPr>
              <w:spacing w:after="0"/>
              <w:rPr>
                <w:sz w:val="1"/>
                <w:szCs w:val="1"/>
                <w:color w:val="auto"/>
              </w:rPr>
            </w:pPr>
          </w:p>
        </w:tc>
      </w:tr>
      <w:tr>
        <w:trPr>
          <w:trHeight w:val="189"/>
        </w:trPr>
        <w:tc>
          <w:tcPr>
            <w:tcW w:w="2160" w:type="dxa"/>
            <w:vAlign w:val="bottom"/>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1000" w:type="dxa"/>
            <w:vAlign w:val="bottom"/>
            <w:shd w:val="clear" w:color="auto" w:fill="E5E6E6"/>
          </w:tcPr>
          <w:p>
            <w:pPr>
              <w:spacing w:after="0"/>
              <w:rPr>
                <w:sz w:val="16"/>
                <w:szCs w:val="16"/>
                <w:color w:val="auto"/>
              </w:rPr>
            </w:pPr>
          </w:p>
        </w:tc>
        <w:tc>
          <w:tcPr>
            <w:tcW w:w="10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120,000</w:t>
            </w:r>
          </w:p>
        </w:tc>
        <w:tc>
          <w:tcPr>
            <w:tcW w:w="940" w:type="dxa"/>
            <w:vAlign w:val="bottom"/>
            <w:shd w:val="clear" w:color="auto" w:fill="E5E6E6"/>
          </w:tcPr>
          <w:p>
            <w:pPr>
              <w:jc w:val="right"/>
              <w:ind w:right="68"/>
              <w:spacing w:after="0"/>
              <w:rPr>
                <w:sz w:val="20"/>
                <w:szCs w:val="20"/>
                <w:color w:val="auto"/>
              </w:rPr>
            </w:pPr>
            <w:r>
              <w:rPr>
                <w:rFonts w:ascii="Arial" w:cs="Arial" w:eastAsia="Arial" w:hAnsi="Arial"/>
                <w:sz w:val="14"/>
                <w:szCs w:val="14"/>
                <w:color w:val="auto"/>
              </w:rPr>
              <w:t>240,000</w:t>
            </w:r>
          </w:p>
        </w:tc>
        <w:tc>
          <w:tcPr>
            <w:tcW w:w="108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360,000</w:t>
            </w:r>
          </w:p>
        </w:tc>
        <w:tc>
          <w:tcPr>
            <w:tcW w:w="1020" w:type="dxa"/>
            <w:vAlign w:val="bottom"/>
            <w:shd w:val="clear" w:color="auto" w:fill="E5E6E6"/>
          </w:tcPr>
          <w:p>
            <w:pPr>
              <w:spacing w:after="0"/>
              <w:rPr>
                <w:sz w:val="16"/>
                <w:szCs w:val="16"/>
                <w:color w:val="auto"/>
              </w:rPr>
            </w:pPr>
          </w:p>
        </w:tc>
        <w:tc>
          <w:tcPr>
            <w:tcW w:w="1020" w:type="dxa"/>
            <w:vAlign w:val="bottom"/>
            <w:shd w:val="clear" w:color="auto" w:fill="E5E6E6"/>
          </w:tcPr>
          <w:p>
            <w:pPr>
              <w:spacing w:after="0"/>
              <w:rPr>
                <w:sz w:val="16"/>
                <w:szCs w:val="16"/>
                <w:color w:val="auto"/>
              </w:rPr>
            </w:pPr>
          </w:p>
        </w:tc>
        <w:tc>
          <w:tcPr>
            <w:tcW w:w="1000" w:type="dxa"/>
            <w:vAlign w:val="bottom"/>
            <w:shd w:val="clear" w:color="auto" w:fill="E5E6E6"/>
          </w:tcPr>
          <w:p>
            <w:pPr>
              <w:spacing w:after="0"/>
              <w:rPr>
                <w:sz w:val="16"/>
                <w:szCs w:val="16"/>
                <w:color w:val="auto"/>
              </w:rPr>
            </w:pPr>
          </w:p>
        </w:tc>
        <w:tc>
          <w:tcPr>
            <w:tcW w:w="980" w:type="dxa"/>
            <w:vAlign w:val="bottom"/>
            <w:shd w:val="clear" w:color="auto" w:fill="E5E6E6"/>
          </w:tcPr>
          <w:p>
            <w:pPr>
              <w:spacing w:after="0"/>
              <w:rPr>
                <w:sz w:val="16"/>
                <w:szCs w:val="16"/>
                <w:color w:val="auto"/>
              </w:rPr>
            </w:pPr>
          </w:p>
        </w:tc>
        <w:tc>
          <w:tcPr>
            <w:tcW w:w="1020" w:type="dxa"/>
            <w:vAlign w:val="bottom"/>
            <w:shd w:val="clear" w:color="auto" w:fill="E5E6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E5E6E6"/>
          </w:tcPr>
          <w:p>
            <w:pPr>
              <w:spacing w:after="0"/>
              <w:rPr>
                <w:sz w:val="16"/>
                <w:szCs w:val="16"/>
                <w:color w:val="auto"/>
              </w:rPr>
            </w:pPr>
          </w:p>
        </w:tc>
        <w:tc>
          <w:tcPr>
            <w:tcW w:w="100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shd w:val="clear" w:color="auto" w:fill="E5E6E6"/>
          </w:tcPr>
          <w:p>
            <w:pPr>
              <w:spacing w:after="0"/>
              <w:rPr>
                <w:sz w:val="16"/>
                <w:szCs w:val="16"/>
                <w:color w:val="auto"/>
              </w:rPr>
            </w:pPr>
          </w:p>
        </w:tc>
        <w:tc>
          <w:tcPr>
            <w:tcW w:w="940" w:type="dxa"/>
            <w:vAlign w:val="bottom"/>
            <w:shd w:val="clear" w:color="auto" w:fill="E5E6E6"/>
          </w:tcPr>
          <w:p>
            <w:pPr>
              <w:spacing w:after="0"/>
              <w:rPr>
                <w:sz w:val="16"/>
                <w:szCs w:val="16"/>
                <w:color w:val="auto"/>
              </w:rPr>
            </w:pPr>
          </w:p>
        </w:tc>
        <w:tc>
          <w:tcPr>
            <w:tcW w:w="1080" w:type="dxa"/>
            <w:vAlign w:val="bottom"/>
            <w:shd w:val="clear" w:color="auto" w:fill="E5E6E6"/>
          </w:tcPr>
          <w:p>
            <w:pPr>
              <w:spacing w:after="0"/>
              <w:rPr>
                <w:sz w:val="16"/>
                <w:szCs w:val="16"/>
                <w:color w:val="auto"/>
              </w:rPr>
            </w:pPr>
          </w:p>
        </w:tc>
        <w:tc>
          <w:tcPr>
            <w:tcW w:w="10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8,924</w:t>
            </w:r>
          </w:p>
        </w:tc>
        <w:tc>
          <w:tcPr>
            <w:tcW w:w="1000" w:type="dxa"/>
            <w:vAlign w:val="bottom"/>
            <w:shd w:val="clear" w:color="auto" w:fill="E5E6E6"/>
          </w:tcPr>
          <w:p>
            <w:pPr>
              <w:jc w:val="right"/>
              <w:ind w:right="148"/>
              <w:spacing w:after="0"/>
              <w:rPr>
                <w:sz w:val="20"/>
                <w:szCs w:val="20"/>
                <w:color w:val="auto"/>
              </w:rPr>
            </w:pPr>
            <w:r>
              <w:rPr>
                <w:rFonts w:ascii="Arial" w:cs="Arial" w:eastAsia="Arial" w:hAnsi="Arial"/>
                <w:sz w:val="14"/>
                <w:szCs w:val="14"/>
                <w:color w:val="auto"/>
              </w:rPr>
              <w:t>16,733</w:t>
            </w:r>
          </w:p>
        </w:tc>
        <w:tc>
          <w:tcPr>
            <w:tcW w:w="980" w:type="dxa"/>
            <w:vAlign w:val="bottom"/>
            <w:shd w:val="clear" w:color="auto" w:fill="E5E6E6"/>
          </w:tcPr>
          <w:p>
            <w:pPr>
              <w:spacing w:after="0"/>
              <w:rPr>
                <w:sz w:val="16"/>
                <w:szCs w:val="16"/>
                <w:color w:val="auto"/>
              </w:rPr>
            </w:pPr>
          </w:p>
        </w:tc>
        <w:tc>
          <w:tcPr>
            <w:tcW w:w="1020" w:type="dxa"/>
            <w:vAlign w:val="bottom"/>
            <w:shd w:val="clear" w:color="auto" w:fill="E5E6E6"/>
          </w:tcPr>
          <w:p>
            <w:pPr>
              <w:jc w:val="right"/>
              <w:ind w:right="149"/>
              <w:spacing w:after="0"/>
              <w:rPr>
                <w:sz w:val="20"/>
                <w:szCs w:val="20"/>
                <w:color w:val="auto"/>
              </w:rPr>
            </w:pPr>
            <w:r>
              <w:rPr>
                <w:rFonts w:ascii="Arial" w:cs="Arial" w:eastAsia="Arial" w:hAnsi="Arial"/>
                <w:sz w:val="14"/>
                <w:szCs w:val="14"/>
                <w:color w:val="auto"/>
              </w:rPr>
              <w:t>161,792</w:t>
            </w:r>
          </w:p>
        </w:tc>
        <w:tc>
          <w:tcPr>
            <w:tcW w:w="0" w:type="dxa"/>
            <w:vAlign w:val="bottom"/>
          </w:tcPr>
          <w:p>
            <w:pPr>
              <w:spacing w:after="0"/>
              <w:rPr>
                <w:sz w:val="1"/>
                <w:szCs w:val="1"/>
                <w:color w:val="auto"/>
              </w:rPr>
            </w:pPr>
          </w:p>
        </w:tc>
      </w:tr>
      <w:tr>
        <w:trPr>
          <w:trHeight w:val="189"/>
        </w:trPr>
        <w:tc>
          <w:tcPr>
            <w:tcW w:w="2160" w:type="dxa"/>
            <w:vAlign w:val="bottom"/>
            <w:shd w:val="clear" w:color="auto" w:fill="E5E6E6"/>
          </w:tcPr>
          <w:p>
            <w:pPr>
              <w:spacing w:after="0"/>
              <w:rPr>
                <w:sz w:val="16"/>
                <w:szCs w:val="16"/>
                <w:color w:val="auto"/>
              </w:rPr>
            </w:pPr>
          </w:p>
        </w:tc>
        <w:tc>
          <w:tcPr>
            <w:tcW w:w="100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shd w:val="clear" w:color="auto" w:fill="E5E6E6"/>
          </w:tcPr>
          <w:p>
            <w:pPr>
              <w:spacing w:after="0"/>
              <w:rPr>
                <w:sz w:val="16"/>
                <w:szCs w:val="16"/>
                <w:color w:val="auto"/>
              </w:rPr>
            </w:pPr>
          </w:p>
        </w:tc>
        <w:tc>
          <w:tcPr>
            <w:tcW w:w="940" w:type="dxa"/>
            <w:vAlign w:val="bottom"/>
            <w:shd w:val="clear" w:color="auto" w:fill="E5E6E6"/>
          </w:tcPr>
          <w:p>
            <w:pPr>
              <w:spacing w:after="0"/>
              <w:rPr>
                <w:sz w:val="16"/>
                <w:szCs w:val="16"/>
                <w:color w:val="auto"/>
              </w:rPr>
            </w:pPr>
          </w:p>
        </w:tc>
        <w:tc>
          <w:tcPr>
            <w:tcW w:w="1080" w:type="dxa"/>
            <w:vAlign w:val="bottom"/>
            <w:shd w:val="clear" w:color="auto" w:fill="E5E6E6"/>
          </w:tcPr>
          <w:p>
            <w:pPr>
              <w:spacing w:after="0"/>
              <w:rPr>
                <w:sz w:val="16"/>
                <w:szCs w:val="16"/>
                <w:color w:val="auto"/>
              </w:rPr>
            </w:pPr>
          </w:p>
        </w:tc>
        <w:tc>
          <w:tcPr>
            <w:tcW w:w="1020" w:type="dxa"/>
            <w:vAlign w:val="bottom"/>
            <w:shd w:val="clear" w:color="auto" w:fill="E5E6E6"/>
          </w:tcPr>
          <w:p>
            <w:pPr>
              <w:spacing w:after="0"/>
              <w:rPr>
                <w:sz w:val="16"/>
                <w:szCs w:val="16"/>
                <w:color w:val="auto"/>
              </w:rPr>
            </w:pPr>
          </w:p>
        </w:tc>
        <w:tc>
          <w:tcPr>
            <w:tcW w:w="1020" w:type="dxa"/>
            <w:vAlign w:val="bottom"/>
            <w:shd w:val="clear" w:color="auto" w:fill="E5E6E6"/>
          </w:tcPr>
          <w:p>
            <w:pPr>
              <w:spacing w:after="0"/>
              <w:rPr>
                <w:sz w:val="16"/>
                <w:szCs w:val="16"/>
                <w:color w:val="auto"/>
              </w:rPr>
            </w:pPr>
          </w:p>
        </w:tc>
        <w:tc>
          <w:tcPr>
            <w:tcW w:w="1000" w:type="dxa"/>
            <w:vAlign w:val="bottom"/>
            <w:shd w:val="clear" w:color="auto" w:fill="E5E6E6"/>
          </w:tcPr>
          <w:p>
            <w:pPr>
              <w:spacing w:after="0"/>
              <w:rPr>
                <w:sz w:val="16"/>
                <w:szCs w:val="16"/>
                <w:color w:val="auto"/>
              </w:rPr>
            </w:pPr>
          </w:p>
        </w:tc>
        <w:tc>
          <w:tcPr>
            <w:tcW w:w="980" w:type="dxa"/>
            <w:vAlign w:val="bottom"/>
            <w:shd w:val="clear" w:color="auto" w:fill="E5E6E6"/>
          </w:tcPr>
          <w:p>
            <w:pPr>
              <w:jc w:val="right"/>
              <w:ind w:right="128"/>
              <w:spacing w:after="0"/>
              <w:rPr>
                <w:sz w:val="20"/>
                <w:szCs w:val="20"/>
                <w:color w:val="auto"/>
              </w:rPr>
            </w:pPr>
            <w:r>
              <w:rPr>
                <w:rFonts w:ascii="Arial" w:cs="Arial" w:eastAsia="Arial" w:hAnsi="Arial"/>
                <w:sz w:val="14"/>
                <w:szCs w:val="14"/>
                <w:color w:val="auto"/>
              </w:rPr>
              <w:t>3,823</w:t>
            </w:r>
          </w:p>
        </w:tc>
        <w:tc>
          <w:tcPr>
            <w:tcW w:w="1020" w:type="dxa"/>
            <w:vAlign w:val="bottom"/>
            <w:shd w:val="clear" w:color="auto" w:fill="E5E6E6"/>
          </w:tcPr>
          <w:p>
            <w:pPr>
              <w:jc w:val="right"/>
              <w:ind w:right="149"/>
              <w:spacing w:after="0"/>
              <w:rPr>
                <w:sz w:val="20"/>
                <w:szCs w:val="20"/>
                <w:color w:val="auto"/>
              </w:rPr>
            </w:pPr>
            <w:r>
              <w:rPr>
                <w:rFonts w:ascii="Arial" w:cs="Arial" w:eastAsia="Arial" w:hAnsi="Arial"/>
                <w:sz w:val="14"/>
                <w:szCs w:val="14"/>
                <w:color w:val="auto"/>
              </w:rPr>
              <w:t>69,311</w:t>
            </w:r>
          </w:p>
        </w:tc>
        <w:tc>
          <w:tcPr>
            <w:tcW w:w="0" w:type="dxa"/>
            <w:vAlign w:val="bottom"/>
          </w:tcPr>
          <w:p>
            <w:pPr>
              <w:spacing w:after="0"/>
              <w:rPr>
                <w:sz w:val="1"/>
                <w:szCs w:val="1"/>
                <w:color w:val="auto"/>
              </w:rPr>
            </w:pPr>
          </w:p>
        </w:tc>
      </w:tr>
      <w:tr>
        <w:trPr>
          <w:trHeight w:val="175"/>
        </w:trPr>
        <w:tc>
          <w:tcPr>
            <w:tcW w:w="2160" w:type="dxa"/>
            <w:vAlign w:val="bottom"/>
            <w:shd w:val="clear" w:color="auto" w:fill="E5E6E6"/>
          </w:tcPr>
          <w:p>
            <w:pPr>
              <w:spacing w:after="0"/>
              <w:rPr>
                <w:sz w:val="15"/>
                <w:szCs w:val="15"/>
                <w:color w:val="auto"/>
              </w:rPr>
            </w:pPr>
          </w:p>
        </w:tc>
        <w:tc>
          <w:tcPr>
            <w:tcW w:w="1000" w:type="dxa"/>
            <w:vAlign w:val="bottom"/>
            <w:shd w:val="clear" w:color="auto" w:fill="E5E6E6"/>
          </w:tcPr>
          <w:p>
            <w:pPr>
              <w:jc w:val="center"/>
              <w:spacing w:after="0"/>
              <w:rPr>
                <w:sz w:val="20"/>
                <w:szCs w:val="20"/>
                <w:color w:val="auto"/>
              </w:rPr>
            </w:pPr>
            <w:r>
              <w:rPr>
                <w:rFonts w:ascii="Arial" w:cs="Arial" w:eastAsia="Arial" w:hAnsi="Arial"/>
                <w:sz w:val="14"/>
                <w:szCs w:val="14"/>
                <w:color w:val="auto"/>
              </w:rPr>
              <w:t>12/1/2020</w:t>
            </w:r>
          </w:p>
        </w:tc>
        <w:tc>
          <w:tcPr>
            <w:tcW w:w="1020" w:type="dxa"/>
            <w:vAlign w:val="bottom"/>
            <w:shd w:val="clear" w:color="auto" w:fill="E5E6E6"/>
          </w:tcPr>
          <w:p>
            <w:pPr>
              <w:spacing w:after="0"/>
              <w:rPr>
                <w:sz w:val="15"/>
                <w:szCs w:val="15"/>
                <w:color w:val="auto"/>
              </w:rPr>
            </w:pPr>
          </w:p>
        </w:tc>
        <w:tc>
          <w:tcPr>
            <w:tcW w:w="940" w:type="dxa"/>
            <w:vAlign w:val="bottom"/>
            <w:shd w:val="clear" w:color="auto" w:fill="E5E6E6"/>
          </w:tcPr>
          <w:p>
            <w:pPr>
              <w:spacing w:after="0"/>
              <w:rPr>
                <w:sz w:val="15"/>
                <w:szCs w:val="15"/>
                <w:color w:val="auto"/>
              </w:rPr>
            </w:pPr>
          </w:p>
        </w:tc>
        <w:tc>
          <w:tcPr>
            <w:tcW w:w="1080" w:type="dxa"/>
            <w:vAlign w:val="bottom"/>
            <w:shd w:val="clear" w:color="auto" w:fill="E5E6E6"/>
          </w:tcPr>
          <w:p>
            <w:pPr>
              <w:spacing w:after="0"/>
              <w:rPr>
                <w:sz w:val="15"/>
                <w:szCs w:val="15"/>
                <w:color w:val="auto"/>
              </w:rPr>
            </w:pPr>
          </w:p>
        </w:tc>
        <w:tc>
          <w:tcPr>
            <w:tcW w:w="1020" w:type="dxa"/>
            <w:vAlign w:val="bottom"/>
            <w:shd w:val="clear" w:color="auto" w:fill="E5E6E6"/>
          </w:tcPr>
          <w:p>
            <w:pPr>
              <w:spacing w:after="0"/>
              <w:rPr>
                <w:sz w:val="15"/>
                <w:szCs w:val="15"/>
                <w:color w:val="auto"/>
              </w:rPr>
            </w:pPr>
          </w:p>
        </w:tc>
        <w:tc>
          <w:tcPr>
            <w:tcW w:w="1020" w:type="dxa"/>
            <w:vAlign w:val="bottom"/>
            <w:shd w:val="clear" w:color="auto" w:fill="E5E6E6"/>
          </w:tcPr>
          <w:p>
            <w:pPr>
              <w:spacing w:after="0"/>
              <w:rPr>
                <w:sz w:val="15"/>
                <w:szCs w:val="15"/>
                <w:color w:val="auto"/>
              </w:rPr>
            </w:pPr>
          </w:p>
        </w:tc>
        <w:tc>
          <w:tcPr>
            <w:tcW w:w="1000" w:type="dxa"/>
            <w:vAlign w:val="bottom"/>
            <w:shd w:val="clear" w:color="auto" w:fill="E5E6E6"/>
          </w:tcPr>
          <w:p>
            <w:pPr>
              <w:spacing w:after="0"/>
              <w:rPr>
                <w:sz w:val="15"/>
                <w:szCs w:val="15"/>
                <w:color w:val="auto"/>
              </w:rPr>
            </w:pPr>
          </w:p>
        </w:tc>
        <w:tc>
          <w:tcPr>
            <w:tcW w:w="980" w:type="dxa"/>
            <w:vAlign w:val="bottom"/>
            <w:shd w:val="clear" w:color="auto" w:fill="E5E6E6"/>
          </w:tcPr>
          <w:p>
            <w:pPr>
              <w:jc w:val="right"/>
              <w:ind w:right="128"/>
              <w:spacing w:after="0"/>
              <w:rPr>
                <w:sz w:val="20"/>
                <w:szCs w:val="20"/>
                <w:color w:val="auto"/>
              </w:rPr>
            </w:pPr>
            <w:r>
              <w:rPr>
                <w:rFonts w:ascii="Arial" w:cs="Arial" w:eastAsia="Arial" w:hAnsi="Arial"/>
                <w:sz w:val="14"/>
                <w:szCs w:val="14"/>
                <w:color w:val="auto"/>
              </w:rPr>
              <w:t>1,552</w:t>
            </w:r>
          </w:p>
        </w:tc>
        <w:tc>
          <w:tcPr>
            <w:tcW w:w="1020" w:type="dxa"/>
            <w:vAlign w:val="bottom"/>
            <w:shd w:val="clear" w:color="auto" w:fill="E5E6E6"/>
          </w:tcPr>
          <w:p>
            <w:pPr>
              <w:jc w:val="right"/>
              <w:ind w:right="149"/>
              <w:spacing w:after="0"/>
              <w:rPr>
                <w:sz w:val="20"/>
                <w:szCs w:val="20"/>
                <w:color w:val="auto"/>
              </w:rPr>
            </w:pPr>
            <w:r>
              <w:rPr>
                <w:rFonts w:ascii="Arial" w:cs="Arial" w:eastAsia="Arial" w:hAnsi="Arial"/>
                <w:sz w:val="14"/>
                <w:szCs w:val="14"/>
                <w:color w:val="auto"/>
              </w:rPr>
              <w:t>38,521</w:t>
            </w:r>
          </w:p>
        </w:tc>
        <w:tc>
          <w:tcPr>
            <w:tcW w:w="0" w:type="dxa"/>
            <w:vAlign w:val="bottom"/>
          </w:tcPr>
          <w:p>
            <w:pPr>
              <w:spacing w:after="0"/>
              <w:rPr>
                <w:sz w:val="1"/>
                <w:szCs w:val="1"/>
                <w:color w:val="auto"/>
              </w:rPr>
            </w:pPr>
          </w:p>
        </w:tc>
      </w:tr>
      <w:tr>
        <w:trPr>
          <w:trHeight w:val="191"/>
        </w:trPr>
        <w:tc>
          <w:tcPr>
            <w:tcW w:w="2160" w:type="dxa"/>
            <w:vAlign w:val="bottom"/>
          </w:tcPr>
          <w:p>
            <w:pPr>
              <w:ind w:left="100"/>
              <w:spacing w:after="0"/>
              <w:rPr>
                <w:sz w:val="20"/>
                <w:szCs w:val="20"/>
                <w:color w:val="auto"/>
              </w:rPr>
            </w:pPr>
            <w:r>
              <w:rPr>
                <w:rFonts w:ascii="Arial" w:cs="Arial" w:eastAsia="Arial" w:hAnsi="Arial"/>
                <w:sz w:val="14"/>
                <w:szCs w:val="14"/>
                <w:color w:val="auto"/>
              </w:rPr>
              <w:t>Melinda Davis Lux</w:t>
            </w:r>
          </w:p>
        </w:tc>
        <w:tc>
          <w:tcPr>
            <w:tcW w:w="100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96,250</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192,500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288,750</w:t>
            </w: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3/11/2020</w:t>
            </w: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5,222</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100,001</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7,534</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14,126</w:t>
            </w:r>
          </w:p>
        </w:tc>
        <w:tc>
          <w:tcPr>
            <w:tcW w:w="980" w:type="dxa"/>
            <w:vAlign w:val="bottom"/>
          </w:tcPr>
          <w:p>
            <w:pPr>
              <w:spacing w:after="0"/>
              <w:rPr>
                <w:sz w:val="16"/>
                <w:szCs w:val="16"/>
                <w:color w:val="auto"/>
              </w:rPr>
            </w:pP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136,591</w:t>
            </w:r>
          </w:p>
        </w:tc>
        <w:tc>
          <w:tcPr>
            <w:tcW w:w="0" w:type="dxa"/>
            <w:vAlign w:val="bottom"/>
          </w:tcPr>
          <w:p>
            <w:pPr>
              <w:spacing w:after="0"/>
              <w:rPr>
                <w:sz w:val="1"/>
                <w:szCs w:val="1"/>
                <w:color w:val="auto"/>
              </w:rPr>
            </w:pPr>
          </w:p>
        </w:tc>
      </w:tr>
      <w:tr>
        <w:trPr>
          <w:trHeight w:val="194"/>
        </w:trPr>
        <w:tc>
          <w:tcPr>
            <w:tcW w:w="2160" w:type="dxa"/>
            <w:vAlign w:val="bottom"/>
            <w:tcBorders>
              <w:bottom w:val="single" w:sz="8" w:color="E5E6E6"/>
            </w:tcBorders>
          </w:tcPr>
          <w:p>
            <w:pPr>
              <w:spacing w:after="0"/>
              <w:rPr>
                <w:sz w:val="16"/>
                <w:szCs w:val="16"/>
                <w:color w:val="auto"/>
              </w:rPr>
            </w:pPr>
          </w:p>
        </w:tc>
        <w:tc>
          <w:tcPr>
            <w:tcW w:w="1000" w:type="dxa"/>
            <w:vAlign w:val="bottom"/>
            <w:tcBorders>
              <w:bottom w:val="single" w:sz="8" w:color="E5E6E6"/>
            </w:tcBorders>
          </w:tcPr>
          <w:p>
            <w:pPr>
              <w:jc w:val="center"/>
              <w:spacing w:after="0"/>
              <w:rPr>
                <w:sz w:val="20"/>
                <w:szCs w:val="20"/>
                <w:color w:val="auto"/>
              </w:rPr>
            </w:pPr>
            <w:r>
              <w:rPr>
                <w:rFonts w:ascii="Arial" w:cs="Arial" w:eastAsia="Arial" w:hAnsi="Arial"/>
                <w:sz w:val="14"/>
                <w:szCs w:val="14"/>
                <w:color w:val="auto"/>
              </w:rPr>
              <w:t>9/1/2020</w:t>
            </w:r>
          </w:p>
        </w:tc>
        <w:tc>
          <w:tcPr>
            <w:tcW w:w="1020" w:type="dxa"/>
            <w:vAlign w:val="bottom"/>
            <w:tcBorders>
              <w:bottom w:val="single" w:sz="8" w:color="E5E6E6"/>
            </w:tcBorders>
          </w:tcPr>
          <w:p>
            <w:pPr>
              <w:spacing w:after="0"/>
              <w:rPr>
                <w:sz w:val="16"/>
                <w:szCs w:val="16"/>
                <w:color w:val="auto"/>
              </w:rPr>
            </w:pPr>
          </w:p>
        </w:tc>
        <w:tc>
          <w:tcPr>
            <w:tcW w:w="940" w:type="dxa"/>
            <w:vAlign w:val="bottom"/>
            <w:tcBorders>
              <w:bottom w:val="single" w:sz="8" w:color="E5E6E6"/>
            </w:tcBorders>
          </w:tcPr>
          <w:p>
            <w:pPr>
              <w:spacing w:after="0"/>
              <w:rPr>
                <w:sz w:val="16"/>
                <w:szCs w:val="16"/>
                <w:color w:val="auto"/>
              </w:rPr>
            </w:pPr>
          </w:p>
        </w:tc>
        <w:tc>
          <w:tcPr>
            <w:tcW w:w="1080" w:type="dxa"/>
            <w:vAlign w:val="bottom"/>
            <w:tcBorders>
              <w:bottom w:val="single" w:sz="8" w:color="E5E6E6"/>
            </w:tcBorders>
          </w:tcPr>
          <w:p>
            <w:pPr>
              <w:spacing w:after="0"/>
              <w:rPr>
                <w:sz w:val="16"/>
                <w:szCs w:val="16"/>
                <w:color w:val="auto"/>
              </w:rPr>
            </w:pPr>
          </w:p>
        </w:tc>
        <w:tc>
          <w:tcPr>
            <w:tcW w:w="1020" w:type="dxa"/>
            <w:vAlign w:val="bottom"/>
            <w:tcBorders>
              <w:bottom w:val="single" w:sz="8" w:color="E5E6E6"/>
            </w:tcBorders>
          </w:tcPr>
          <w:p>
            <w:pPr>
              <w:spacing w:after="0"/>
              <w:rPr>
                <w:sz w:val="16"/>
                <w:szCs w:val="16"/>
                <w:color w:val="auto"/>
              </w:rPr>
            </w:pPr>
          </w:p>
        </w:tc>
        <w:tc>
          <w:tcPr>
            <w:tcW w:w="1020" w:type="dxa"/>
            <w:vAlign w:val="bottom"/>
            <w:tcBorders>
              <w:bottom w:val="single" w:sz="8" w:color="E5E6E6"/>
            </w:tcBorders>
          </w:tcPr>
          <w:p>
            <w:pPr>
              <w:spacing w:after="0"/>
              <w:rPr>
                <w:sz w:val="16"/>
                <w:szCs w:val="16"/>
                <w:color w:val="auto"/>
              </w:rPr>
            </w:pPr>
          </w:p>
        </w:tc>
        <w:tc>
          <w:tcPr>
            <w:tcW w:w="1000" w:type="dxa"/>
            <w:vAlign w:val="bottom"/>
            <w:tcBorders>
              <w:bottom w:val="single" w:sz="8" w:color="E5E6E6"/>
            </w:tcBorders>
          </w:tcPr>
          <w:p>
            <w:pPr>
              <w:spacing w:after="0"/>
              <w:rPr>
                <w:sz w:val="16"/>
                <w:szCs w:val="16"/>
                <w:color w:val="auto"/>
              </w:rPr>
            </w:pPr>
          </w:p>
        </w:tc>
        <w:tc>
          <w:tcPr>
            <w:tcW w:w="980" w:type="dxa"/>
            <w:vAlign w:val="bottom"/>
            <w:tcBorders>
              <w:bottom w:val="single" w:sz="8" w:color="E5E6E6"/>
            </w:tcBorders>
          </w:tcPr>
          <w:p>
            <w:pPr>
              <w:jc w:val="right"/>
              <w:ind w:right="128"/>
              <w:spacing w:after="0"/>
              <w:rPr>
                <w:sz w:val="20"/>
                <w:szCs w:val="20"/>
                <w:color w:val="auto"/>
              </w:rPr>
            </w:pPr>
            <w:r>
              <w:rPr>
                <w:rFonts w:ascii="Arial" w:cs="Arial" w:eastAsia="Arial" w:hAnsi="Arial"/>
                <w:sz w:val="14"/>
                <w:szCs w:val="14"/>
                <w:color w:val="auto"/>
              </w:rPr>
              <w:t>3,227</w:t>
            </w:r>
          </w:p>
        </w:tc>
        <w:tc>
          <w:tcPr>
            <w:tcW w:w="1020" w:type="dxa"/>
            <w:vAlign w:val="bottom"/>
            <w:tcBorders>
              <w:bottom w:val="single" w:sz="8" w:color="E5E6E6"/>
            </w:tcBorders>
          </w:tcPr>
          <w:p>
            <w:pPr>
              <w:jc w:val="right"/>
              <w:ind w:right="149"/>
              <w:spacing w:after="0"/>
              <w:rPr>
                <w:sz w:val="20"/>
                <w:szCs w:val="20"/>
                <w:color w:val="auto"/>
              </w:rPr>
            </w:pPr>
            <w:r>
              <w:rPr>
                <w:rFonts w:ascii="Arial" w:cs="Arial" w:eastAsia="Arial" w:hAnsi="Arial"/>
                <w:sz w:val="14"/>
                <w:szCs w:val="14"/>
                <w:color w:val="auto"/>
              </w:rPr>
              <w:t>58,506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-2948305</wp:posOffset>
            </wp:positionV>
            <wp:extent cx="17145" cy="6858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-2948305</wp:posOffset>
            </wp:positionV>
            <wp:extent cx="17145" cy="6858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-2948305</wp:posOffset>
            </wp:positionV>
            <wp:extent cx="17145" cy="6858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-2948305</wp:posOffset>
            </wp:positionV>
            <wp:extent cx="17145" cy="6858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-2948305</wp:posOffset>
            </wp:positionV>
            <wp:extent cx="17145" cy="6858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-2948305</wp:posOffset>
            </wp:positionV>
            <wp:extent cx="17145" cy="6858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-2948305</wp:posOffset>
            </wp:positionV>
            <wp:extent cx="17145" cy="6858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-2948305</wp:posOffset>
            </wp:positionV>
            <wp:extent cx="17145" cy="6858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-2948305</wp:posOffset>
            </wp:positionV>
            <wp:extent cx="17145" cy="685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145" cy="685800"/>
                    </a:xfrm>
                    <a:prstGeom prst="rect">
                      <a:avLst/>
                    </a:prstGeom>
                    <a:noFill/>
                  </pic:spPr>
                </pic:pic>
              </a:graphicData>
            </a:graphic>
          </wp:anchor>
        </w:drawing>
      </w:r>
    </w:p>
    <w:p>
      <w:pPr>
        <w:spacing w:after="0" w:line="19" w:lineRule="exact"/>
        <w:rPr>
          <w:sz w:val="20"/>
          <w:szCs w:val="20"/>
          <w:color w:val="auto"/>
        </w:rPr>
      </w:pPr>
    </w:p>
    <w:p>
      <w:pPr>
        <w:ind w:left="120" w:hanging="112"/>
        <w:spacing w:after="0"/>
        <w:tabs>
          <w:tab w:leader="none" w:pos="12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Represents the awards of PRSUs that are subject to the achievement of performance conditions in equal installments with 25% vesting on February 15 of each of the</w:t>
      </w:r>
    </w:p>
    <w:p>
      <w:pPr>
        <w:ind w:left="120"/>
        <w:spacing w:after="0" w:line="213" w:lineRule="auto"/>
        <w:rPr>
          <w:sz w:val="20"/>
          <w:szCs w:val="20"/>
          <w:color w:val="auto"/>
        </w:rPr>
      </w:pPr>
      <w:r>
        <w:rPr>
          <w:rFonts w:ascii="Arial" w:cs="Arial" w:eastAsia="Arial" w:hAnsi="Arial"/>
          <w:sz w:val="14"/>
          <w:szCs w:val="14"/>
          <w:color w:val="auto"/>
        </w:rPr>
        <w:t>following years: 2022, 2023, 2024 and 2025 based on achievement of the prior year’s performance.</w:t>
      </w:r>
    </w:p>
    <w:p>
      <w:pPr>
        <w:spacing w:after="0" w:line="19" w:lineRule="exact"/>
        <w:rPr>
          <w:sz w:val="20"/>
          <w:szCs w:val="20"/>
          <w:color w:val="auto"/>
        </w:rPr>
      </w:pPr>
    </w:p>
    <w:p>
      <w:pPr>
        <w:jc w:val="both"/>
        <w:ind w:left="120" w:right="160" w:hanging="112"/>
        <w:spacing w:after="0" w:line="195" w:lineRule="auto"/>
        <w:tabs>
          <w:tab w:leader="none" w:pos="12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For the new hire award granted to Ms. Davis Lux on March 11, 2020, represents the number of TRSUs that will vest in equal installments with 25% vesting on May 15, 2021 and then on February 15 of each of the following years: 2022, 2023 and 2024, assuming Ms. Davis Lux remains employed with us, subject to certain exceptions. For awards granted September 1, 2020, represents the number of TRSUs that will vest in equal installments with 25% vesting on November 15, 2021 and then on August 15 of each of</w:t>
      </w:r>
    </w:p>
    <w:p>
      <w:pPr>
        <w:ind w:left="120" w:right="260"/>
        <w:spacing w:after="0" w:line="232" w:lineRule="auto"/>
        <w:rPr>
          <w:sz w:val="20"/>
          <w:szCs w:val="20"/>
          <w:color w:val="auto"/>
        </w:rPr>
      </w:pPr>
      <w:r>
        <w:rPr>
          <w:rFonts w:ascii="Arial" w:cs="Arial" w:eastAsia="Arial" w:hAnsi="Arial"/>
          <w:sz w:val="14"/>
          <w:szCs w:val="14"/>
          <w:color w:val="auto"/>
        </w:rPr>
        <w:t>the following years: 2022, 2023 and 2024, assuming the executives remain employed with us, subject to certain exceptions. For awards granted December 1, 2020, represents the number of TRSUs that will vest in equal installments with 25% vesting on February 15, 2022 and then on November 15 of each of the following years: 2022, 2023 and 2024, assuming the executives remain employed with us, subject to certain exceptions.</w:t>
      </w:r>
    </w:p>
    <w:p>
      <w:pPr>
        <w:spacing w:after="0" w:line="19" w:lineRule="exact"/>
        <w:rPr>
          <w:sz w:val="20"/>
          <w:szCs w:val="20"/>
          <w:color w:val="auto"/>
        </w:rPr>
      </w:pPr>
    </w:p>
    <w:p>
      <w:pPr>
        <w:ind w:left="120" w:right="140" w:hanging="112"/>
        <w:spacing w:after="0" w:line="199" w:lineRule="auto"/>
        <w:tabs>
          <w:tab w:leader="none" w:pos="12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This amount represents the aggregate grant date fair value of each equity award computed in accordance with FASB ASC Topic 718. The grant date fair value of the PRSUs that were issued on September 1, 2020 was estimated at the target performance level. See Note 16 of our annual consolidated financial statements included in our Annual Report on Form 10-K for the year ended December 31, 2020, filed with the SEC on February 25, 2021 for a discussion of valuation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7" w:name="page48"/>
    <w:bookmarkEnd w:id="47"/>
    <w:p>
      <w:pPr>
        <w:spacing w:after="0"/>
        <w:rPr>
          <w:sz w:val="20"/>
          <w:szCs w:val="20"/>
          <w:color w:val="auto"/>
        </w:rPr>
      </w:pPr>
      <w:r>
        <w:rPr>
          <w:rFonts w:ascii="Arial" w:cs="Arial" w:eastAsia="Arial" w:hAnsi="Arial"/>
          <w:sz w:val="27"/>
          <w:szCs w:val="27"/>
          <w:b w:val="1"/>
          <w:bCs w:val="1"/>
          <w:color w:val="1077A9"/>
        </w:rPr>
        <w:t>Outstanding Equity Awards at Fiscal Year-End</w:t>
      </w:r>
    </w:p>
    <w:p>
      <w:pPr>
        <w:spacing w:after="0" w:line="23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following table sets forth, for each NEO, the number and value of unvested restricted stock unit awards as of December 31, 2020. No NEOs had any stock options exercisable or unexercisable as of December 31, 2020. See Compensation Discussion and Analysis: 2020 Executive Compensation Components: Long-Term Equity Incentive Awards for additional information regarding our 2020 equity awards. Columns have been omitted from this table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113665</wp:posOffset>
            </wp:positionV>
            <wp:extent cx="54089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960" w:type="dxa"/>
            <w:vAlign w:val="bottom"/>
            <w:tcBorders>
              <w:right w:val="single" w:sz="8" w:color="E5E6E6"/>
            </w:tcBorders>
          </w:tcPr>
          <w:p>
            <w:pPr>
              <w:spacing w:after="0"/>
              <w:rPr>
                <w:sz w:val="17"/>
                <w:szCs w:val="17"/>
                <w:color w:val="auto"/>
              </w:rPr>
            </w:pPr>
          </w:p>
        </w:tc>
        <w:tc>
          <w:tcPr>
            <w:tcW w:w="2080" w:type="dxa"/>
            <w:vAlign w:val="bottom"/>
            <w:shd w:val="clear" w:color="auto" w:fill="E5E6E6"/>
          </w:tcPr>
          <w:p>
            <w:pPr>
              <w:spacing w:after="0"/>
              <w:rPr>
                <w:sz w:val="17"/>
                <w:szCs w:val="17"/>
                <w:color w:val="auto"/>
              </w:rPr>
            </w:pPr>
          </w:p>
        </w:tc>
        <w:tc>
          <w:tcPr>
            <w:tcW w:w="1120" w:type="dxa"/>
            <w:vAlign w:val="bottom"/>
            <w:shd w:val="clear" w:color="auto" w:fill="E5E6E6"/>
          </w:tcPr>
          <w:p>
            <w:pPr>
              <w:spacing w:after="0"/>
              <w:rPr>
                <w:sz w:val="17"/>
                <w:szCs w:val="17"/>
                <w:color w:val="auto"/>
              </w:rPr>
            </w:pPr>
          </w:p>
        </w:tc>
        <w:tc>
          <w:tcPr>
            <w:tcW w:w="3080" w:type="dxa"/>
            <w:vAlign w:val="bottom"/>
            <w:gridSpan w:val="3"/>
            <w:shd w:val="clear" w:color="auto" w:fill="E5E6E6"/>
          </w:tcPr>
          <w:p>
            <w:pPr>
              <w:jc w:val="right"/>
              <w:ind w:right="1568"/>
              <w:spacing w:after="0"/>
              <w:rPr>
                <w:sz w:val="20"/>
                <w:szCs w:val="20"/>
                <w:color w:val="auto"/>
              </w:rPr>
            </w:pPr>
            <w:r>
              <w:rPr>
                <w:rFonts w:ascii="Arial" w:cs="Arial" w:eastAsia="Arial" w:hAnsi="Arial"/>
                <w:sz w:val="14"/>
                <w:szCs w:val="14"/>
                <w:color w:val="auto"/>
              </w:rPr>
              <w:t>Stock Awards</w:t>
            </w:r>
          </w:p>
        </w:tc>
        <w:tc>
          <w:tcPr>
            <w:tcW w:w="2180" w:type="dxa"/>
            <w:vAlign w:val="bottom"/>
            <w:shd w:val="clear" w:color="auto" w:fill="E5E6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shd w:val="clear" w:color="auto" w:fill="E5E6E6"/>
          </w:tcPr>
          <w:p>
            <w:pPr>
              <w:spacing w:after="0"/>
              <w:rPr>
                <w:sz w:val="17"/>
                <w:szCs w:val="17"/>
                <w:color w:val="auto"/>
              </w:rPr>
            </w:pPr>
          </w:p>
        </w:tc>
        <w:tc>
          <w:tcPr>
            <w:tcW w:w="1140" w:type="dxa"/>
            <w:vAlign w:val="bottom"/>
            <w:shd w:val="clear" w:color="auto" w:fill="E5E6E6"/>
          </w:tcPr>
          <w:p>
            <w:pPr>
              <w:jc w:val="right"/>
              <w:spacing w:after="0"/>
              <w:rPr>
                <w:sz w:val="20"/>
                <w:szCs w:val="20"/>
                <w:color w:val="auto"/>
              </w:rPr>
            </w:pPr>
            <w:r>
              <w:rPr>
                <w:rFonts w:ascii="Arial" w:cs="Arial" w:eastAsia="Arial" w:hAnsi="Arial"/>
                <w:sz w:val="14"/>
                <w:szCs w:val="14"/>
                <w:color w:val="auto"/>
                <w:shd w:val="clear" w:color="auto" w:fill="E5E6E6"/>
              </w:rPr>
              <w:t>Equity</w:t>
            </w:r>
          </w:p>
        </w:tc>
        <w:tc>
          <w:tcPr>
            <w:tcW w:w="3120" w:type="dxa"/>
            <w:vAlign w:val="bottom"/>
            <w:gridSpan w:val="2"/>
            <w:shd w:val="clear" w:color="auto" w:fill="E5E6E6"/>
          </w:tcPr>
          <w:p>
            <w:pPr>
              <w:jc w:val="right"/>
              <w:ind w:right="1628"/>
              <w:spacing w:after="0"/>
              <w:rPr>
                <w:sz w:val="20"/>
                <w:szCs w:val="20"/>
                <w:color w:val="auto"/>
              </w:rPr>
            </w:pPr>
            <w:r>
              <w:rPr>
                <w:rFonts w:ascii="Arial" w:cs="Arial" w:eastAsia="Arial" w:hAnsi="Arial"/>
                <w:sz w:val="14"/>
                <w:szCs w:val="14"/>
                <w:color w:val="auto"/>
              </w:rPr>
              <w:t>Incentive Plan Awards</w:t>
            </w:r>
          </w:p>
        </w:tc>
        <w:tc>
          <w:tcPr>
            <w:tcW w:w="0" w:type="dxa"/>
            <w:vAlign w:val="bottom"/>
          </w:tcPr>
          <w:p>
            <w:pPr>
              <w:spacing w:after="0"/>
              <w:rPr>
                <w:sz w:val="1"/>
                <w:szCs w:val="1"/>
                <w:color w:val="auto"/>
              </w:rPr>
            </w:pPr>
          </w:p>
        </w:tc>
      </w:tr>
      <w:tr>
        <w:trPr>
          <w:trHeight w:val="201"/>
        </w:trPr>
        <w:tc>
          <w:tcPr>
            <w:tcW w:w="1820" w:type="dxa"/>
            <w:vAlign w:val="bottom"/>
            <w:shd w:val="clear" w:color="auto" w:fill="1077A9"/>
          </w:tcPr>
          <w:p>
            <w:pPr>
              <w:spacing w:after="0"/>
              <w:rPr>
                <w:sz w:val="17"/>
                <w:szCs w:val="17"/>
                <w:color w:val="auto"/>
              </w:rPr>
            </w:pPr>
          </w:p>
        </w:tc>
        <w:tc>
          <w:tcPr>
            <w:tcW w:w="960" w:type="dxa"/>
            <w:vAlign w:val="bottom"/>
            <w:tcBorders>
              <w:right w:val="single" w:sz="8" w:color="1077A9"/>
            </w:tcBorders>
            <w:shd w:val="clear" w:color="auto" w:fill="1077A9"/>
          </w:tcPr>
          <w:p>
            <w:pPr>
              <w:spacing w:after="0"/>
              <w:rPr>
                <w:sz w:val="17"/>
                <w:szCs w:val="17"/>
                <w:color w:val="auto"/>
              </w:rPr>
            </w:pPr>
          </w:p>
        </w:tc>
        <w:tc>
          <w:tcPr>
            <w:tcW w:w="2080" w:type="dxa"/>
            <w:vAlign w:val="bottom"/>
            <w:vMerge w:val="restart"/>
            <w:shd w:val="clear" w:color="auto" w:fill="1077A9"/>
          </w:tcPr>
          <w:p>
            <w:pPr>
              <w:jc w:val="right"/>
              <w:ind w:right="73"/>
              <w:spacing w:after="0"/>
              <w:rPr>
                <w:sz w:val="20"/>
                <w:szCs w:val="20"/>
                <w:color w:val="auto"/>
              </w:rPr>
            </w:pPr>
            <w:r>
              <w:rPr>
                <w:rFonts w:ascii="Arial" w:cs="Arial" w:eastAsia="Arial" w:hAnsi="Arial"/>
                <w:sz w:val="14"/>
                <w:szCs w:val="14"/>
                <w:color w:val="FFFFFF"/>
              </w:rPr>
              <w:t>Number of Shares or Units of</w:t>
            </w:r>
          </w:p>
        </w:tc>
        <w:tc>
          <w:tcPr>
            <w:tcW w:w="2120" w:type="dxa"/>
            <w:vAlign w:val="bottom"/>
            <w:gridSpan w:val="2"/>
            <w:shd w:val="clear" w:color="auto" w:fill="1077A9"/>
          </w:tcPr>
          <w:p>
            <w:pPr>
              <w:jc w:val="right"/>
              <w:spacing w:after="0"/>
              <w:rPr>
                <w:sz w:val="20"/>
                <w:szCs w:val="20"/>
                <w:color w:val="auto"/>
              </w:rPr>
            </w:pPr>
            <w:r>
              <w:rPr>
                <w:rFonts w:ascii="Arial" w:cs="Arial" w:eastAsia="Arial" w:hAnsi="Arial"/>
                <w:sz w:val="14"/>
                <w:szCs w:val="14"/>
                <w:color w:val="FFFFFF"/>
              </w:rPr>
              <w:t>Market Value of Shares or Units</w:t>
            </w:r>
          </w:p>
        </w:tc>
        <w:tc>
          <w:tcPr>
            <w:tcW w:w="2080" w:type="dxa"/>
            <w:vAlign w:val="bottom"/>
            <w:gridSpan w:val="2"/>
            <w:shd w:val="clear" w:color="auto" w:fill="1077A9"/>
          </w:tcPr>
          <w:p>
            <w:pPr>
              <w:jc w:val="right"/>
              <w:ind w:right="48"/>
              <w:spacing w:after="0"/>
              <w:rPr>
                <w:sz w:val="20"/>
                <w:szCs w:val="20"/>
                <w:color w:val="auto"/>
              </w:rPr>
            </w:pPr>
            <w:r>
              <w:rPr>
                <w:rFonts w:ascii="Arial" w:cs="Arial" w:eastAsia="Arial" w:hAnsi="Arial"/>
                <w:sz w:val="14"/>
                <w:szCs w:val="14"/>
                <w:color w:val="FFFFFF"/>
              </w:rPr>
              <w:t>Number of Unearned Shares</w:t>
            </w:r>
          </w:p>
        </w:tc>
        <w:tc>
          <w:tcPr>
            <w:tcW w:w="2180" w:type="dxa"/>
            <w:vAlign w:val="bottom"/>
            <w:shd w:val="clear" w:color="auto" w:fill="1077A9"/>
          </w:tcPr>
          <w:p>
            <w:pPr>
              <w:jc w:val="right"/>
              <w:ind w:right="188"/>
              <w:spacing w:after="0"/>
              <w:rPr>
                <w:sz w:val="20"/>
                <w:szCs w:val="20"/>
                <w:color w:val="auto"/>
              </w:rPr>
            </w:pPr>
            <w:r>
              <w:rPr>
                <w:rFonts w:ascii="Arial" w:cs="Arial" w:eastAsia="Arial" w:hAnsi="Arial"/>
                <w:sz w:val="14"/>
                <w:szCs w:val="14"/>
                <w:color w:val="FFFFFF"/>
              </w:rPr>
              <w:t>Market or Payout Value of</w:t>
            </w:r>
          </w:p>
        </w:tc>
        <w:tc>
          <w:tcPr>
            <w:tcW w:w="0" w:type="dxa"/>
            <w:vAlign w:val="bottom"/>
          </w:tcPr>
          <w:p>
            <w:pPr>
              <w:spacing w:after="0"/>
              <w:rPr>
                <w:sz w:val="1"/>
                <w:szCs w:val="1"/>
                <w:color w:val="auto"/>
              </w:rPr>
            </w:pPr>
          </w:p>
        </w:tc>
      </w:tr>
      <w:tr>
        <w:trPr>
          <w:trHeight w:val="81"/>
        </w:trPr>
        <w:tc>
          <w:tcPr>
            <w:tcW w:w="1820" w:type="dxa"/>
            <w:vAlign w:val="bottom"/>
            <w:vMerge w:val="restart"/>
            <w:shd w:val="clear" w:color="auto" w:fill="1077A9"/>
          </w:tcPr>
          <w:p>
            <w:pPr>
              <w:ind w:left="100"/>
              <w:spacing w:after="0" w:line="143" w:lineRule="exact"/>
              <w:rPr>
                <w:sz w:val="20"/>
                <w:szCs w:val="20"/>
                <w:color w:val="auto"/>
              </w:rPr>
            </w:pPr>
            <w:r>
              <w:rPr>
                <w:rFonts w:ascii="Arial" w:cs="Arial" w:eastAsia="Arial" w:hAnsi="Arial"/>
                <w:sz w:val="14"/>
                <w:szCs w:val="14"/>
                <w:color w:val="FFFFFF"/>
              </w:rPr>
              <w:t>Name</w:t>
            </w:r>
          </w:p>
        </w:tc>
        <w:tc>
          <w:tcPr>
            <w:tcW w:w="960" w:type="dxa"/>
            <w:vAlign w:val="bottom"/>
            <w:tcBorders>
              <w:right w:val="single" w:sz="8" w:color="1077A9"/>
            </w:tcBorders>
            <w:vMerge w:val="restart"/>
            <w:shd w:val="clear" w:color="auto" w:fill="1077A9"/>
          </w:tcPr>
          <w:p>
            <w:pPr>
              <w:jc w:val="right"/>
              <w:ind w:right="88"/>
              <w:spacing w:after="0" w:line="143" w:lineRule="exact"/>
              <w:rPr>
                <w:sz w:val="20"/>
                <w:szCs w:val="20"/>
                <w:color w:val="auto"/>
              </w:rPr>
            </w:pPr>
            <w:r>
              <w:rPr>
                <w:rFonts w:ascii="Arial" w:cs="Arial" w:eastAsia="Arial" w:hAnsi="Arial"/>
                <w:sz w:val="14"/>
                <w:szCs w:val="14"/>
                <w:color w:val="FFFFFF"/>
              </w:rPr>
              <w:t>Grant Date</w:t>
            </w:r>
          </w:p>
        </w:tc>
        <w:tc>
          <w:tcPr>
            <w:tcW w:w="2080" w:type="dxa"/>
            <w:vAlign w:val="bottom"/>
            <w:vMerge w:val="continue"/>
            <w:shd w:val="clear" w:color="auto" w:fill="1077A9"/>
          </w:tcPr>
          <w:p>
            <w:pPr>
              <w:spacing w:after="0"/>
              <w:rPr>
                <w:sz w:val="7"/>
                <w:szCs w:val="7"/>
                <w:color w:val="auto"/>
              </w:rPr>
            </w:pPr>
          </w:p>
        </w:tc>
        <w:tc>
          <w:tcPr>
            <w:tcW w:w="2120" w:type="dxa"/>
            <w:vAlign w:val="bottom"/>
            <w:gridSpan w:val="2"/>
            <w:vMerge w:val="restart"/>
            <w:shd w:val="clear" w:color="auto" w:fill="1077A9"/>
          </w:tcPr>
          <w:p>
            <w:pPr>
              <w:jc w:val="right"/>
              <w:ind w:right="928"/>
              <w:spacing w:after="0" w:line="143" w:lineRule="exact"/>
              <w:rPr>
                <w:sz w:val="20"/>
                <w:szCs w:val="20"/>
                <w:color w:val="auto"/>
              </w:rPr>
            </w:pPr>
            <w:r>
              <w:rPr>
                <w:rFonts w:ascii="Arial" w:cs="Arial" w:eastAsia="Arial" w:hAnsi="Arial"/>
                <w:sz w:val="14"/>
                <w:szCs w:val="14"/>
                <w:color w:val="FFFFFF"/>
              </w:rPr>
              <w:t>of</w:t>
            </w:r>
          </w:p>
        </w:tc>
        <w:tc>
          <w:tcPr>
            <w:tcW w:w="2080" w:type="dxa"/>
            <w:vAlign w:val="bottom"/>
            <w:gridSpan w:val="2"/>
            <w:vMerge w:val="restart"/>
            <w:shd w:val="clear" w:color="auto" w:fill="1077A9"/>
          </w:tcPr>
          <w:p>
            <w:pPr>
              <w:jc w:val="right"/>
              <w:spacing w:after="0" w:line="143" w:lineRule="exact"/>
              <w:rPr>
                <w:sz w:val="20"/>
                <w:szCs w:val="20"/>
                <w:color w:val="auto"/>
              </w:rPr>
            </w:pPr>
            <w:r>
              <w:rPr>
                <w:rFonts w:ascii="Arial" w:cs="Arial" w:eastAsia="Arial" w:hAnsi="Arial"/>
                <w:sz w:val="14"/>
                <w:szCs w:val="14"/>
                <w:color w:val="FFFFFF"/>
              </w:rPr>
              <w:t>Units or Other Rights that have</w:t>
            </w:r>
          </w:p>
        </w:tc>
        <w:tc>
          <w:tcPr>
            <w:tcW w:w="2180" w:type="dxa"/>
            <w:vAlign w:val="bottom"/>
            <w:vMerge w:val="restart"/>
            <w:shd w:val="clear" w:color="auto" w:fill="1077A9"/>
          </w:tcPr>
          <w:p>
            <w:pPr>
              <w:jc w:val="right"/>
              <w:spacing w:after="0" w:line="143" w:lineRule="exact"/>
              <w:rPr>
                <w:sz w:val="20"/>
                <w:szCs w:val="20"/>
                <w:color w:val="auto"/>
              </w:rPr>
            </w:pPr>
            <w:r>
              <w:rPr>
                <w:rFonts w:ascii="Arial" w:cs="Arial" w:eastAsia="Arial" w:hAnsi="Arial"/>
                <w:sz w:val="14"/>
                <w:szCs w:val="14"/>
                <w:color w:val="FFFFFF"/>
              </w:rPr>
              <w:t>Unearned Shares, Units or Other</w:t>
            </w:r>
          </w:p>
        </w:tc>
        <w:tc>
          <w:tcPr>
            <w:tcW w:w="0" w:type="dxa"/>
            <w:vAlign w:val="bottom"/>
          </w:tcPr>
          <w:p>
            <w:pPr>
              <w:spacing w:after="0"/>
              <w:rPr>
                <w:sz w:val="1"/>
                <w:szCs w:val="1"/>
                <w:color w:val="auto"/>
              </w:rPr>
            </w:pPr>
          </w:p>
        </w:tc>
      </w:tr>
      <w:tr>
        <w:trPr>
          <w:trHeight w:val="62"/>
        </w:trPr>
        <w:tc>
          <w:tcPr>
            <w:tcW w:w="1820" w:type="dxa"/>
            <w:vAlign w:val="bottom"/>
            <w:vMerge w:val="continue"/>
            <w:shd w:val="clear" w:color="auto" w:fill="1077A9"/>
          </w:tcPr>
          <w:p>
            <w:pPr>
              <w:spacing w:after="0"/>
              <w:rPr>
                <w:sz w:val="5"/>
                <w:szCs w:val="5"/>
                <w:color w:val="auto"/>
              </w:rPr>
            </w:pPr>
          </w:p>
        </w:tc>
        <w:tc>
          <w:tcPr>
            <w:tcW w:w="960" w:type="dxa"/>
            <w:vAlign w:val="bottom"/>
            <w:tcBorders>
              <w:right w:val="single" w:sz="8" w:color="1077A9"/>
            </w:tcBorders>
            <w:vMerge w:val="continue"/>
            <w:shd w:val="clear" w:color="auto" w:fill="1077A9"/>
          </w:tcPr>
          <w:p>
            <w:pPr>
              <w:spacing w:after="0"/>
              <w:rPr>
                <w:sz w:val="5"/>
                <w:szCs w:val="5"/>
                <w:color w:val="auto"/>
              </w:rPr>
            </w:pPr>
          </w:p>
        </w:tc>
        <w:tc>
          <w:tcPr>
            <w:tcW w:w="2080" w:type="dxa"/>
            <w:vAlign w:val="bottom"/>
            <w:vMerge w:val="restart"/>
            <w:shd w:val="clear" w:color="auto" w:fill="1077A9"/>
          </w:tcPr>
          <w:p>
            <w:pPr>
              <w:jc w:val="right"/>
              <w:ind w:right="33"/>
              <w:spacing w:after="0"/>
              <w:rPr>
                <w:sz w:val="20"/>
                <w:szCs w:val="20"/>
                <w:color w:val="auto"/>
              </w:rPr>
            </w:pPr>
            <w:r>
              <w:rPr>
                <w:rFonts w:ascii="Arial" w:cs="Arial" w:eastAsia="Arial" w:hAnsi="Arial"/>
                <w:sz w:val="14"/>
                <w:szCs w:val="14"/>
                <w:color w:val="FFFFFF"/>
              </w:rPr>
              <w:t>Stock that have not Vested (#)</w:t>
            </w:r>
          </w:p>
        </w:tc>
        <w:tc>
          <w:tcPr>
            <w:tcW w:w="2120" w:type="dxa"/>
            <w:vAlign w:val="bottom"/>
            <w:gridSpan w:val="2"/>
            <w:vMerge w:val="continue"/>
            <w:shd w:val="clear" w:color="auto" w:fill="1077A9"/>
          </w:tcPr>
          <w:p>
            <w:pPr>
              <w:spacing w:after="0"/>
              <w:rPr>
                <w:sz w:val="5"/>
                <w:szCs w:val="5"/>
                <w:color w:val="auto"/>
              </w:rPr>
            </w:pPr>
          </w:p>
        </w:tc>
        <w:tc>
          <w:tcPr>
            <w:tcW w:w="2080" w:type="dxa"/>
            <w:vAlign w:val="bottom"/>
            <w:gridSpan w:val="2"/>
            <w:vMerge w:val="continue"/>
            <w:shd w:val="clear" w:color="auto" w:fill="1077A9"/>
          </w:tcPr>
          <w:p>
            <w:pPr>
              <w:spacing w:after="0"/>
              <w:rPr>
                <w:sz w:val="5"/>
                <w:szCs w:val="5"/>
                <w:color w:val="auto"/>
              </w:rPr>
            </w:pPr>
          </w:p>
        </w:tc>
        <w:tc>
          <w:tcPr>
            <w:tcW w:w="2180" w:type="dxa"/>
            <w:vAlign w:val="bottom"/>
            <w:vMerge w:val="continue"/>
            <w:shd w:val="clear" w:color="auto" w:fill="1077A9"/>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820" w:type="dxa"/>
            <w:vAlign w:val="bottom"/>
            <w:shd w:val="clear" w:color="auto" w:fill="1077A9"/>
          </w:tcPr>
          <w:p>
            <w:pPr>
              <w:spacing w:after="0"/>
              <w:rPr>
                <w:sz w:val="9"/>
                <w:szCs w:val="9"/>
                <w:color w:val="auto"/>
              </w:rPr>
            </w:pPr>
          </w:p>
        </w:tc>
        <w:tc>
          <w:tcPr>
            <w:tcW w:w="960" w:type="dxa"/>
            <w:vAlign w:val="bottom"/>
            <w:tcBorders>
              <w:right w:val="single" w:sz="8" w:color="1077A9"/>
            </w:tcBorders>
            <w:shd w:val="clear" w:color="auto" w:fill="1077A9"/>
          </w:tcPr>
          <w:p>
            <w:pPr>
              <w:spacing w:after="0"/>
              <w:rPr>
                <w:sz w:val="9"/>
                <w:szCs w:val="9"/>
                <w:color w:val="auto"/>
              </w:rPr>
            </w:pPr>
          </w:p>
        </w:tc>
        <w:tc>
          <w:tcPr>
            <w:tcW w:w="2080" w:type="dxa"/>
            <w:vAlign w:val="bottom"/>
            <w:vMerge w:val="continue"/>
            <w:shd w:val="clear" w:color="auto" w:fill="1077A9"/>
          </w:tcPr>
          <w:p>
            <w:pPr>
              <w:spacing w:after="0"/>
              <w:rPr>
                <w:sz w:val="9"/>
                <w:szCs w:val="9"/>
                <w:color w:val="auto"/>
              </w:rPr>
            </w:pPr>
          </w:p>
        </w:tc>
        <w:tc>
          <w:tcPr>
            <w:tcW w:w="2120" w:type="dxa"/>
            <w:vAlign w:val="bottom"/>
            <w:gridSpan w:val="2"/>
            <w:vMerge w:val="restart"/>
            <w:shd w:val="clear" w:color="auto" w:fill="1077A9"/>
          </w:tcPr>
          <w:p>
            <w:pPr>
              <w:jc w:val="right"/>
              <w:spacing w:after="0" w:line="190" w:lineRule="exact"/>
              <w:rPr>
                <w:sz w:val="20"/>
                <w:szCs w:val="20"/>
                <w:color w:val="auto"/>
              </w:rPr>
            </w:pPr>
            <w:r>
              <w:rPr>
                <w:rFonts w:ascii="Arial" w:cs="Arial" w:eastAsia="Arial" w:hAnsi="Arial"/>
                <w:sz w:val="13"/>
                <w:szCs w:val="13"/>
                <w:color w:val="FFFFFF"/>
              </w:rPr>
              <w:t>Stock that have not Vested ($)</w:t>
            </w:r>
            <w:r>
              <w:rPr>
                <w:rFonts w:ascii="Arial" w:cs="Arial" w:eastAsia="Arial" w:hAnsi="Arial"/>
                <w:sz w:val="21"/>
                <w:szCs w:val="21"/>
                <w:color w:val="FFFFFF"/>
                <w:vertAlign w:val="superscript"/>
              </w:rPr>
              <w:t>1</w:t>
            </w:r>
          </w:p>
        </w:tc>
        <w:tc>
          <w:tcPr>
            <w:tcW w:w="2080" w:type="dxa"/>
            <w:vAlign w:val="bottom"/>
            <w:gridSpan w:val="2"/>
            <w:vMerge w:val="restart"/>
            <w:shd w:val="clear" w:color="auto" w:fill="1077A9"/>
          </w:tcPr>
          <w:p>
            <w:pPr>
              <w:jc w:val="right"/>
              <w:ind w:right="468"/>
              <w:spacing w:after="0" w:line="190" w:lineRule="exact"/>
              <w:rPr>
                <w:sz w:val="20"/>
                <w:szCs w:val="20"/>
                <w:color w:val="auto"/>
              </w:rPr>
            </w:pPr>
            <w:r>
              <w:rPr>
                <w:rFonts w:ascii="Arial" w:cs="Arial" w:eastAsia="Arial" w:hAnsi="Arial"/>
                <w:sz w:val="13"/>
                <w:szCs w:val="13"/>
                <w:color w:val="FFFFFF"/>
              </w:rPr>
              <w:t>not Vested (#)</w:t>
            </w:r>
            <w:r>
              <w:rPr>
                <w:rFonts w:ascii="Arial" w:cs="Arial" w:eastAsia="Arial" w:hAnsi="Arial"/>
                <w:sz w:val="21"/>
                <w:szCs w:val="21"/>
                <w:color w:val="FFFFFF"/>
                <w:vertAlign w:val="superscript"/>
              </w:rPr>
              <w:t>2</w:t>
            </w:r>
          </w:p>
        </w:tc>
        <w:tc>
          <w:tcPr>
            <w:tcW w:w="2180" w:type="dxa"/>
            <w:vAlign w:val="bottom"/>
            <w:vMerge w:val="restart"/>
            <w:shd w:val="clear" w:color="auto" w:fill="1077A9"/>
          </w:tcPr>
          <w:p>
            <w:pPr>
              <w:jc w:val="right"/>
              <w:spacing w:after="0" w:line="190" w:lineRule="exact"/>
              <w:rPr>
                <w:sz w:val="20"/>
                <w:szCs w:val="20"/>
                <w:color w:val="auto"/>
              </w:rPr>
            </w:pPr>
            <w:r>
              <w:rPr>
                <w:rFonts w:ascii="Arial" w:cs="Arial" w:eastAsia="Arial" w:hAnsi="Arial"/>
                <w:sz w:val="13"/>
                <w:szCs w:val="13"/>
                <w:color w:val="FFFFFF"/>
              </w:rPr>
              <w:t>Rights that have not Vested ($)</w:t>
            </w:r>
            <w:r>
              <w:rPr>
                <w:rFonts w:ascii="Arial" w:cs="Arial" w:eastAsia="Arial" w:hAnsi="Arial"/>
                <w:sz w:val="21"/>
                <w:szCs w:val="21"/>
                <w:color w:val="FFFFFF"/>
                <w:vertAlign w:val="superscript"/>
              </w:rPr>
              <w:t>1</w:t>
            </w:r>
          </w:p>
        </w:tc>
        <w:tc>
          <w:tcPr>
            <w:tcW w:w="0" w:type="dxa"/>
            <w:vAlign w:val="bottom"/>
          </w:tcPr>
          <w:p>
            <w:pPr>
              <w:spacing w:after="0"/>
              <w:rPr>
                <w:sz w:val="1"/>
                <w:szCs w:val="1"/>
                <w:color w:val="auto"/>
              </w:rPr>
            </w:pPr>
          </w:p>
        </w:tc>
      </w:tr>
      <w:tr>
        <w:trPr>
          <w:trHeight w:val="80"/>
        </w:trPr>
        <w:tc>
          <w:tcPr>
            <w:tcW w:w="1820" w:type="dxa"/>
            <w:vAlign w:val="bottom"/>
            <w:shd w:val="clear" w:color="auto" w:fill="1077A9"/>
          </w:tcPr>
          <w:p>
            <w:pPr>
              <w:spacing w:after="0"/>
              <w:rPr>
                <w:sz w:val="6"/>
                <w:szCs w:val="6"/>
                <w:color w:val="auto"/>
              </w:rPr>
            </w:pPr>
          </w:p>
        </w:tc>
        <w:tc>
          <w:tcPr>
            <w:tcW w:w="960" w:type="dxa"/>
            <w:vAlign w:val="bottom"/>
            <w:tcBorders>
              <w:right w:val="single" w:sz="8" w:color="1077A9"/>
            </w:tcBorders>
            <w:shd w:val="clear" w:color="auto" w:fill="1077A9"/>
          </w:tcPr>
          <w:p>
            <w:pPr>
              <w:spacing w:after="0"/>
              <w:rPr>
                <w:sz w:val="6"/>
                <w:szCs w:val="6"/>
                <w:color w:val="auto"/>
              </w:rPr>
            </w:pPr>
          </w:p>
        </w:tc>
        <w:tc>
          <w:tcPr>
            <w:tcW w:w="2080" w:type="dxa"/>
            <w:vAlign w:val="bottom"/>
            <w:shd w:val="clear" w:color="auto" w:fill="1077A9"/>
          </w:tcPr>
          <w:p>
            <w:pPr>
              <w:spacing w:after="0"/>
              <w:rPr>
                <w:sz w:val="6"/>
                <w:szCs w:val="6"/>
                <w:color w:val="auto"/>
              </w:rPr>
            </w:pPr>
          </w:p>
        </w:tc>
        <w:tc>
          <w:tcPr>
            <w:tcW w:w="2120" w:type="dxa"/>
            <w:vAlign w:val="bottom"/>
            <w:gridSpan w:val="2"/>
            <w:vMerge w:val="continue"/>
            <w:shd w:val="clear" w:color="auto" w:fill="1077A9"/>
          </w:tcPr>
          <w:p>
            <w:pPr>
              <w:spacing w:after="0"/>
              <w:rPr>
                <w:sz w:val="6"/>
                <w:szCs w:val="6"/>
                <w:color w:val="auto"/>
              </w:rPr>
            </w:pPr>
          </w:p>
        </w:tc>
        <w:tc>
          <w:tcPr>
            <w:tcW w:w="2080" w:type="dxa"/>
            <w:vAlign w:val="bottom"/>
            <w:gridSpan w:val="2"/>
            <w:vMerge w:val="continue"/>
            <w:shd w:val="clear" w:color="auto" w:fill="1077A9"/>
          </w:tcPr>
          <w:p>
            <w:pPr>
              <w:spacing w:after="0"/>
              <w:rPr>
                <w:sz w:val="6"/>
                <w:szCs w:val="6"/>
                <w:color w:val="auto"/>
              </w:rPr>
            </w:pPr>
          </w:p>
        </w:tc>
        <w:tc>
          <w:tcPr>
            <w:tcW w:w="2180" w:type="dxa"/>
            <w:vAlign w:val="bottom"/>
            <w:vMerge w:val="continue"/>
            <w:shd w:val="clear" w:color="auto" w:fill="1077A9"/>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960" w:type="dxa"/>
            <w:vAlign w:val="bottom"/>
          </w:tcPr>
          <w:p>
            <w:pPr>
              <w:jc w:val="right"/>
              <w:spacing w:after="0"/>
              <w:rPr>
                <w:sz w:val="20"/>
                <w:szCs w:val="20"/>
                <w:color w:val="auto"/>
              </w:rPr>
            </w:pPr>
            <w:r>
              <w:rPr>
                <w:rFonts w:ascii="Arial" w:cs="Arial" w:eastAsia="Arial" w:hAnsi="Arial"/>
                <w:sz w:val="14"/>
                <w:szCs w:val="14"/>
                <w:color w:val="auto"/>
              </w:rPr>
              <w:t>9/15/2017</w:t>
            </w:r>
          </w:p>
        </w:tc>
        <w:tc>
          <w:tcPr>
            <w:tcW w:w="2080" w:type="dxa"/>
            <w:vAlign w:val="bottom"/>
          </w:tcPr>
          <w:p>
            <w:pPr>
              <w:jc w:val="right"/>
              <w:ind w:right="293"/>
              <w:spacing w:after="0" w:line="189" w:lineRule="exact"/>
              <w:rPr>
                <w:sz w:val="20"/>
                <w:szCs w:val="20"/>
                <w:color w:val="auto"/>
              </w:rPr>
            </w:pPr>
            <w:r>
              <w:rPr>
                <w:rFonts w:ascii="Arial" w:cs="Arial" w:eastAsia="Arial" w:hAnsi="Arial"/>
                <w:sz w:val="13"/>
                <w:szCs w:val="13"/>
                <w:color w:val="auto"/>
              </w:rPr>
              <w:t>1,645</w:t>
            </w:r>
            <w:r>
              <w:rPr>
                <w:rFonts w:ascii="Arial" w:cs="Arial" w:eastAsia="Arial" w:hAnsi="Arial"/>
                <w:sz w:val="21"/>
                <w:szCs w:val="21"/>
                <w:color w:val="auto"/>
                <w:vertAlign w:val="superscript"/>
              </w:rPr>
              <w:t>3</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$ 46,784</w:t>
            </w:r>
          </w:p>
        </w:tc>
        <w:tc>
          <w:tcPr>
            <w:tcW w:w="2080" w:type="dxa"/>
            <w:vAlign w:val="bottom"/>
            <w:gridSpan w:val="2"/>
          </w:tcPr>
          <w:p>
            <w:pPr>
              <w:jc w:val="right"/>
              <w:ind w:right="248"/>
              <w:spacing w:after="0" w:line="189" w:lineRule="exact"/>
              <w:rPr>
                <w:sz w:val="20"/>
                <w:szCs w:val="20"/>
                <w:color w:val="auto"/>
              </w:rPr>
            </w:pPr>
            <w:r>
              <w:rPr>
                <w:rFonts w:ascii="Arial" w:cs="Arial" w:eastAsia="Arial" w:hAnsi="Arial"/>
                <w:sz w:val="13"/>
                <w:szCs w:val="13"/>
                <w:color w:val="auto"/>
              </w:rPr>
              <w:t>1,919</w:t>
            </w:r>
            <w:r>
              <w:rPr>
                <w:rFonts w:ascii="Arial" w:cs="Arial" w:eastAsia="Arial" w:hAnsi="Arial"/>
                <w:sz w:val="21"/>
                <w:szCs w:val="21"/>
                <w:color w:val="auto"/>
                <w:vertAlign w:val="superscript"/>
              </w:rPr>
              <w:t>4</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$ 54,576</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9/1/2018</w:t>
            </w:r>
          </w:p>
        </w:tc>
        <w:tc>
          <w:tcPr>
            <w:tcW w:w="2080" w:type="dxa"/>
            <w:vAlign w:val="bottom"/>
          </w:tcPr>
          <w:p>
            <w:pPr>
              <w:jc w:val="right"/>
              <w:ind w:right="293"/>
              <w:spacing w:after="0" w:line="189" w:lineRule="exact"/>
              <w:rPr>
                <w:sz w:val="20"/>
                <w:szCs w:val="20"/>
                <w:color w:val="auto"/>
              </w:rPr>
            </w:pPr>
            <w:r>
              <w:rPr>
                <w:rFonts w:ascii="Arial" w:cs="Arial" w:eastAsia="Arial" w:hAnsi="Arial"/>
                <w:sz w:val="13"/>
                <w:szCs w:val="13"/>
                <w:color w:val="auto"/>
              </w:rPr>
              <w:t>10,823</w:t>
            </w:r>
            <w:r>
              <w:rPr>
                <w:rFonts w:ascii="Arial" w:cs="Arial" w:eastAsia="Arial" w:hAnsi="Arial"/>
                <w:sz w:val="21"/>
                <w:szCs w:val="21"/>
                <w:color w:val="auto"/>
                <w:vertAlign w:val="superscript"/>
              </w:rPr>
              <w:t>5</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307,806</w:t>
            </w:r>
          </w:p>
        </w:tc>
        <w:tc>
          <w:tcPr>
            <w:tcW w:w="2080" w:type="dxa"/>
            <w:vAlign w:val="bottom"/>
            <w:gridSpan w:val="2"/>
          </w:tcPr>
          <w:p>
            <w:pPr>
              <w:jc w:val="right"/>
              <w:ind w:right="248"/>
              <w:spacing w:after="0" w:line="189" w:lineRule="exact"/>
              <w:rPr>
                <w:sz w:val="20"/>
                <w:szCs w:val="20"/>
                <w:color w:val="auto"/>
              </w:rPr>
            </w:pPr>
            <w:r>
              <w:rPr>
                <w:rFonts w:ascii="Arial" w:cs="Arial" w:eastAsia="Arial" w:hAnsi="Arial"/>
                <w:sz w:val="13"/>
                <w:szCs w:val="13"/>
                <w:color w:val="auto"/>
              </w:rPr>
              <w:t>16,254</w:t>
            </w:r>
            <w:r>
              <w:rPr>
                <w:rFonts w:ascii="Arial" w:cs="Arial" w:eastAsia="Arial" w:hAnsi="Arial"/>
                <w:sz w:val="21"/>
                <w:szCs w:val="21"/>
                <w:color w:val="auto"/>
                <w:vertAlign w:val="superscript"/>
              </w:rPr>
              <w:t>6</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462,264</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9/2/2019</w:t>
            </w:r>
          </w:p>
        </w:tc>
        <w:tc>
          <w:tcPr>
            <w:tcW w:w="2080" w:type="dxa"/>
            <w:vAlign w:val="bottom"/>
          </w:tcPr>
          <w:p>
            <w:pPr>
              <w:jc w:val="right"/>
              <w:ind w:right="293"/>
              <w:spacing w:after="0" w:line="189" w:lineRule="exact"/>
              <w:rPr>
                <w:sz w:val="20"/>
                <w:szCs w:val="20"/>
                <w:color w:val="auto"/>
              </w:rPr>
            </w:pPr>
            <w:r>
              <w:rPr>
                <w:rFonts w:ascii="Arial" w:cs="Arial" w:eastAsia="Arial" w:hAnsi="Arial"/>
                <w:sz w:val="13"/>
                <w:szCs w:val="13"/>
                <w:color w:val="auto"/>
              </w:rPr>
              <w:t>14,574</w:t>
            </w:r>
            <w:r>
              <w:rPr>
                <w:rFonts w:ascii="Arial" w:cs="Arial" w:eastAsia="Arial" w:hAnsi="Arial"/>
                <w:sz w:val="21"/>
                <w:szCs w:val="21"/>
                <w:color w:val="auto"/>
                <w:vertAlign w:val="superscript"/>
              </w:rPr>
              <w:t>5</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414,485</w:t>
            </w:r>
          </w:p>
        </w:tc>
        <w:tc>
          <w:tcPr>
            <w:tcW w:w="2080" w:type="dxa"/>
            <w:vAlign w:val="bottom"/>
            <w:gridSpan w:val="2"/>
          </w:tcPr>
          <w:p>
            <w:pPr>
              <w:jc w:val="right"/>
              <w:ind w:right="248"/>
              <w:spacing w:after="0" w:line="189" w:lineRule="exact"/>
              <w:rPr>
                <w:sz w:val="20"/>
                <w:szCs w:val="20"/>
                <w:color w:val="auto"/>
              </w:rPr>
            </w:pPr>
            <w:r>
              <w:rPr>
                <w:rFonts w:ascii="Arial" w:cs="Arial" w:eastAsia="Arial" w:hAnsi="Arial"/>
                <w:sz w:val="13"/>
                <w:szCs w:val="13"/>
                <w:color w:val="auto"/>
              </w:rPr>
              <w:t>28,053</w:t>
            </w:r>
            <w:r>
              <w:rPr>
                <w:rFonts w:ascii="Arial" w:cs="Arial" w:eastAsia="Arial" w:hAnsi="Arial"/>
                <w:sz w:val="21"/>
                <w:szCs w:val="21"/>
                <w:color w:val="auto"/>
                <w:vertAlign w:val="superscript"/>
              </w:rPr>
              <w:t>6</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797,827</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9/1/2020</w:t>
            </w:r>
          </w:p>
        </w:tc>
        <w:tc>
          <w:tcPr>
            <w:tcW w:w="2080" w:type="dxa"/>
            <w:vAlign w:val="bottom"/>
          </w:tcPr>
          <w:p>
            <w:pPr>
              <w:jc w:val="right"/>
              <w:ind w:right="293"/>
              <w:spacing w:after="0" w:line="189" w:lineRule="exact"/>
              <w:rPr>
                <w:sz w:val="20"/>
                <w:szCs w:val="20"/>
                <w:color w:val="auto"/>
              </w:rPr>
            </w:pPr>
            <w:r>
              <w:rPr>
                <w:rFonts w:ascii="Arial" w:cs="Arial" w:eastAsia="Arial" w:hAnsi="Arial"/>
                <w:sz w:val="13"/>
                <w:szCs w:val="13"/>
                <w:color w:val="auto"/>
              </w:rPr>
              <w:t>12,825</w:t>
            </w:r>
            <w:r>
              <w:rPr>
                <w:rFonts w:ascii="Arial" w:cs="Arial" w:eastAsia="Arial" w:hAnsi="Arial"/>
                <w:sz w:val="21"/>
                <w:szCs w:val="21"/>
                <w:color w:val="auto"/>
                <w:vertAlign w:val="superscript"/>
              </w:rPr>
              <w:t>7</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364,743</w:t>
            </w:r>
          </w:p>
        </w:tc>
        <w:tc>
          <w:tcPr>
            <w:tcW w:w="2080" w:type="dxa"/>
            <w:vAlign w:val="bottom"/>
            <w:gridSpan w:val="2"/>
          </w:tcPr>
          <w:p>
            <w:pPr>
              <w:jc w:val="right"/>
              <w:ind w:right="248"/>
              <w:spacing w:after="0" w:line="189" w:lineRule="exact"/>
              <w:rPr>
                <w:sz w:val="20"/>
                <w:szCs w:val="20"/>
                <w:color w:val="auto"/>
              </w:rPr>
            </w:pPr>
            <w:r>
              <w:rPr>
                <w:rFonts w:ascii="Arial" w:cs="Arial" w:eastAsia="Arial" w:hAnsi="Arial"/>
                <w:sz w:val="13"/>
                <w:szCs w:val="13"/>
                <w:color w:val="auto"/>
              </w:rPr>
              <w:t>56,136</w:t>
            </w:r>
            <w:r>
              <w:rPr>
                <w:rFonts w:ascii="Arial" w:cs="Arial" w:eastAsia="Arial" w:hAnsi="Arial"/>
                <w:sz w:val="21"/>
                <w:szCs w:val="21"/>
                <w:color w:val="auto"/>
                <w:vertAlign w:val="superscript"/>
              </w:rPr>
              <w:t>6</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1,596,508</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12/1/2020</w:t>
            </w:r>
          </w:p>
        </w:tc>
        <w:tc>
          <w:tcPr>
            <w:tcW w:w="2080" w:type="dxa"/>
            <w:vAlign w:val="bottom"/>
          </w:tcPr>
          <w:p>
            <w:pPr>
              <w:jc w:val="right"/>
              <w:ind w:right="293"/>
              <w:spacing w:after="0" w:line="176" w:lineRule="exact"/>
              <w:rPr>
                <w:sz w:val="20"/>
                <w:szCs w:val="20"/>
                <w:color w:val="auto"/>
              </w:rPr>
            </w:pPr>
            <w:r>
              <w:rPr>
                <w:rFonts w:ascii="Arial" w:cs="Arial" w:eastAsia="Arial" w:hAnsi="Arial"/>
                <w:sz w:val="13"/>
                <w:szCs w:val="13"/>
                <w:color w:val="auto"/>
              </w:rPr>
              <w:t>4,684</w:t>
            </w:r>
            <w:r>
              <w:rPr>
                <w:rFonts w:ascii="Arial" w:cs="Arial" w:eastAsia="Arial" w:hAnsi="Arial"/>
                <w:sz w:val="20"/>
                <w:szCs w:val="20"/>
                <w:color w:val="auto"/>
                <w:vertAlign w:val="superscript"/>
              </w:rPr>
              <w:t>7</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133,213</w:t>
            </w:r>
          </w:p>
        </w:tc>
        <w:tc>
          <w:tcPr>
            <w:tcW w:w="20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20" w:type="dxa"/>
            <w:vAlign w:val="bottom"/>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960" w:type="dxa"/>
            <w:vAlign w:val="bottom"/>
            <w:tcBorders>
              <w:right w:val="single" w:sz="8" w:color="E5E6E6"/>
            </w:tcBorders>
            <w:shd w:val="clear" w:color="auto" w:fill="E5E6E6"/>
          </w:tcPr>
          <w:p>
            <w:pPr>
              <w:jc w:val="right"/>
              <w:spacing w:after="0"/>
              <w:rPr>
                <w:sz w:val="20"/>
                <w:szCs w:val="20"/>
                <w:color w:val="auto"/>
              </w:rPr>
            </w:pPr>
            <w:r>
              <w:rPr>
                <w:rFonts w:ascii="Arial" w:cs="Arial" w:eastAsia="Arial" w:hAnsi="Arial"/>
                <w:sz w:val="14"/>
                <w:szCs w:val="14"/>
                <w:color w:val="auto"/>
              </w:rPr>
              <w:t>9/15/2017</w:t>
            </w:r>
          </w:p>
        </w:tc>
        <w:tc>
          <w:tcPr>
            <w:tcW w:w="2080" w:type="dxa"/>
            <w:vAlign w:val="bottom"/>
            <w:shd w:val="clear" w:color="auto" w:fill="E5E6E6"/>
          </w:tcPr>
          <w:p>
            <w:pPr>
              <w:jc w:val="right"/>
              <w:ind w:right="293"/>
              <w:spacing w:after="0" w:line="189" w:lineRule="exact"/>
              <w:rPr>
                <w:sz w:val="20"/>
                <w:szCs w:val="20"/>
                <w:color w:val="auto"/>
              </w:rPr>
            </w:pPr>
            <w:r>
              <w:rPr>
                <w:rFonts w:ascii="Arial" w:cs="Arial" w:eastAsia="Arial" w:hAnsi="Arial"/>
                <w:sz w:val="13"/>
                <w:szCs w:val="13"/>
                <w:color w:val="auto"/>
              </w:rPr>
              <w:t>737</w:t>
            </w:r>
            <w:r>
              <w:rPr>
                <w:rFonts w:ascii="Arial" w:cs="Arial" w:eastAsia="Arial" w:hAnsi="Arial"/>
                <w:sz w:val="21"/>
                <w:szCs w:val="21"/>
                <w:color w:val="auto"/>
                <w:vertAlign w:val="superscript"/>
              </w:rPr>
              <w:t>3</w:t>
            </w:r>
          </w:p>
        </w:tc>
        <w:tc>
          <w:tcPr>
            <w:tcW w:w="2120" w:type="dxa"/>
            <w:vAlign w:val="bottom"/>
            <w:gridSpan w:val="2"/>
            <w:shd w:val="clear" w:color="auto" w:fill="E5E6E6"/>
          </w:tcPr>
          <w:p>
            <w:pPr>
              <w:jc w:val="right"/>
              <w:ind w:right="288"/>
              <w:spacing w:after="0"/>
              <w:rPr>
                <w:sz w:val="20"/>
                <w:szCs w:val="20"/>
                <w:color w:val="auto"/>
              </w:rPr>
            </w:pPr>
            <w:r>
              <w:rPr>
                <w:rFonts w:ascii="Arial" w:cs="Arial" w:eastAsia="Arial" w:hAnsi="Arial"/>
                <w:sz w:val="14"/>
                <w:szCs w:val="14"/>
                <w:color w:val="auto"/>
              </w:rPr>
              <w:t>20,960</w:t>
            </w:r>
          </w:p>
        </w:tc>
        <w:tc>
          <w:tcPr>
            <w:tcW w:w="2080" w:type="dxa"/>
            <w:vAlign w:val="bottom"/>
            <w:gridSpan w:val="2"/>
            <w:shd w:val="clear" w:color="auto" w:fill="E5E6E6"/>
          </w:tcPr>
          <w:p>
            <w:pPr>
              <w:jc w:val="right"/>
              <w:ind w:right="248"/>
              <w:spacing w:after="0" w:line="189" w:lineRule="exact"/>
              <w:rPr>
                <w:sz w:val="20"/>
                <w:szCs w:val="20"/>
                <w:color w:val="auto"/>
              </w:rPr>
            </w:pPr>
            <w:r>
              <w:rPr>
                <w:rFonts w:ascii="Arial" w:cs="Arial" w:eastAsia="Arial" w:hAnsi="Arial"/>
                <w:sz w:val="13"/>
                <w:szCs w:val="13"/>
                <w:color w:val="auto"/>
              </w:rPr>
              <w:t>860</w:t>
            </w:r>
            <w:r>
              <w:rPr>
                <w:rFonts w:ascii="Arial" w:cs="Arial" w:eastAsia="Arial" w:hAnsi="Arial"/>
                <w:sz w:val="21"/>
                <w:szCs w:val="21"/>
                <w:color w:val="auto"/>
                <w:vertAlign w:val="superscript"/>
              </w:rPr>
              <w:t>4</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24,458</w:t>
            </w:r>
          </w:p>
        </w:tc>
        <w:tc>
          <w:tcPr>
            <w:tcW w:w="0" w:type="dxa"/>
            <w:vAlign w:val="bottom"/>
          </w:tcPr>
          <w:p>
            <w:pPr>
              <w:spacing w:after="0"/>
              <w:rPr>
                <w:sz w:val="1"/>
                <w:szCs w:val="1"/>
                <w:color w:val="auto"/>
              </w:rPr>
            </w:pPr>
          </w:p>
        </w:tc>
      </w:tr>
      <w:tr>
        <w:trPr>
          <w:trHeight w:val="189"/>
        </w:trPr>
        <w:tc>
          <w:tcPr>
            <w:tcW w:w="1820" w:type="dxa"/>
            <w:vAlign w:val="bottom"/>
            <w:shd w:val="clear" w:color="auto" w:fill="E5E6E6"/>
          </w:tcPr>
          <w:p>
            <w:pPr>
              <w:spacing w:after="0"/>
              <w:rPr>
                <w:sz w:val="16"/>
                <w:szCs w:val="16"/>
                <w:color w:val="auto"/>
              </w:rPr>
            </w:pPr>
          </w:p>
        </w:tc>
        <w:tc>
          <w:tcPr>
            <w:tcW w:w="960" w:type="dxa"/>
            <w:vAlign w:val="bottom"/>
            <w:tcBorders>
              <w:right w:val="single" w:sz="8" w:color="E5E6E6"/>
            </w:tcBorders>
            <w:shd w:val="clear" w:color="auto" w:fill="E5E6E6"/>
          </w:tcPr>
          <w:p>
            <w:pPr>
              <w:jc w:val="right"/>
              <w:spacing w:after="0"/>
              <w:rPr>
                <w:sz w:val="20"/>
                <w:szCs w:val="20"/>
                <w:color w:val="auto"/>
              </w:rPr>
            </w:pPr>
            <w:r>
              <w:rPr>
                <w:rFonts w:ascii="Arial" w:cs="Arial" w:eastAsia="Arial" w:hAnsi="Arial"/>
                <w:sz w:val="14"/>
                <w:szCs w:val="14"/>
                <w:color w:val="auto"/>
              </w:rPr>
              <w:t>9/1/2018</w:t>
            </w:r>
          </w:p>
        </w:tc>
        <w:tc>
          <w:tcPr>
            <w:tcW w:w="2080" w:type="dxa"/>
            <w:vAlign w:val="bottom"/>
            <w:shd w:val="clear" w:color="auto" w:fill="E5E6E6"/>
          </w:tcPr>
          <w:p>
            <w:pPr>
              <w:jc w:val="right"/>
              <w:ind w:right="293"/>
              <w:spacing w:after="0" w:line="189" w:lineRule="exact"/>
              <w:rPr>
                <w:sz w:val="20"/>
                <w:szCs w:val="20"/>
                <w:color w:val="auto"/>
              </w:rPr>
            </w:pPr>
            <w:r>
              <w:rPr>
                <w:rFonts w:ascii="Arial" w:cs="Arial" w:eastAsia="Arial" w:hAnsi="Arial"/>
                <w:sz w:val="13"/>
                <w:szCs w:val="13"/>
                <w:color w:val="auto"/>
              </w:rPr>
              <w:t>4,042</w:t>
            </w:r>
            <w:r>
              <w:rPr>
                <w:rFonts w:ascii="Arial" w:cs="Arial" w:eastAsia="Arial" w:hAnsi="Arial"/>
                <w:sz w:val="21"/>
                <w:szCs w:val="21"/>
                <w:color w:val="auto"/>
                <w:vertAlign w:val="superscript"/>
              </w:rPr>
              <w:t>5</w:t>
            </w:r>
          </w:p>
        </w:tc>
        <w:tc>
          <w:tcPr>
            <w:tcW w:w="2120" w:type="dxa"/>
            <w:vAlign w:val="bottom"/>
            <w:gridSpan w:val="2"/>
            <w:shd w:val="clear" w:color="auto" w:fill="E5E6E6"/>
          </w:tcPr>
          <w:p>
            <w:pPr>
              <w:jc w:val="right"/>
              <w:ind w:right="288"/>
              <w:spacing w:after="0"/>
              <w:rPr>
                <w:sz w:val="20"/>
                <w:szCs w:val="20"/>
                <w:color w:val="auto"/>
              </w:rPr>
            </w:pPr>
            <w:r>
              <w:rPr>
                <w:rFonts w:ascii="Arial" w:cs="Arial" w:eastAsia="Arial" w:hAnsi="Arial"/>
                <w:sz w:val="14"/>
                <w:szCs w:val="14"/>
                <w:color w:val="auto"/>
              </w:rPr>
              <w:t>114,954</w:t>
            </w:r>
          </w:p>
        </w:tc>
        <w:tc>
          <w:tcPr>
            <w:tcW w:w="2080" w:type="dxa"/>
            <w:vAlign w:val="bottom"/>
            <w:gridSpan w:val="2"/>
            <w:shd w:val="clear" w:color="auto" w:fill="E5E6E6"/>
          </w:tcPr>
          <w:p>
            <w:pPr>
              <w:jc w:val="right"/>
              <w:ind w:right="248"/>
              <w:spacing w:after="0" w:line="189" w:lineRule="exact"/>
              <w:rPr>
                <w:sz w:val="20"/>
                <w:szCs w:val="20"/>
                <w:color w:val="auto"/>
              </w:rPr>
            </w:pPr>
            <w:r>
              <w:rPr>
                <w:rFonts w:ascii="Arial" w:cs="Arial" w:eastAsia="Arial" w:hAnsi="Arial"/>
                <w:sz w:val="13"/>
                <w:szCs w:val="13"/>
                <w:color w:val="auto"/>
              </w:rPr>
              <w:t>6,068</w:t>
            </w:r>
            <w:r>
              <w:rPr>
                <w:rFonts w:ascii="Arial" w:cs="Arial" w:eastAsia="Arial" w:hAnsi="Arial"/>
                <w:sz w:val="21"/>
                <w:szCs w:val="21"/>
                <w:color w:val="auto"/>
                <w:vertAlign w:val="superscript"/>
              </w:rPr>
              <w:t>6</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172,574</w:t>
            </w:r>
          </w:p>
        </w:tc>
        <w:tc>
          <w:tcPr>
            <w:tcW w:w="0" w:type="dxa"/>
            <w:vAlign w:val="bottom"/>
          </w:tcPr>
          <w:p>
            <w:pPr>
              <w:spacing w:after="0"/>
              <w:rPr>
                <w:sz w:val="1"/>
                <w:szCs w:val="1"/>
                <w:color w:val="auto"/>
              </w:rPr>
            </w:pPr>
          </w:p>
        </w:tc>
      </w:tr>
      <w:tr>
        <w:trPr>
          <w:trHeight w:val="189"/>
        </w:trPr>
        <w:tc>
          <w:tcPr>
            <w:tcW w:w="1820" w:type="dxa"/>
            <w:vAlign w:val="bottom"/>
            <w:shd w:val="clear" w:color="auto" w:fill="E5E6E6"/>
          </w:tcPr>
          <w:p>
            <w:pPr>
              <w:spacing w:after="0"/>
              <w:rPr>
                <w:sz w:val="16"/>
                <w:szCs w:val="16"/>
                <w:color w:val="auto"/>
              </w:rPr>
            </w:pPr>
          </w:p>
        </w:tc>
        <w:tc>
          <w:tcPr>
            <w:tcW w:w="960" w:type="dxa"/>
            <w:vAlign w:val="bottom"/>
            <w:tcBorders>
              <w:right w:val="single" w:sz="8" w:color="E5E6E6"/>
            </w:tcBorders>
            <w:shd w:val="clear" w:color="auto" w:fill="E5E6E6"/>
          </w:tcPr>
          <w:p>
            <w:pPr>
              <w:jc w:val="right"/>
              <w:spacing w:after="0"/>
              <w:rPr>
                <w:sz w:val="20"/>
                <w:szCs w:val="20"/>
                <w:color w:val="auto"/>
              </w:rPr>
            </w:pPr>
            <w:r>
              <w:rPr>
                <w:rFonts w:ascii="Arial" w:cs="Arial" w:eastAsia="Arial" w:hAnsi="Arial"/>
                <w:sz w:val="14"/>
                <w:szCs w:val="14"/>
                <w:color w:val="auto"/>
              </w:rPr>
              <w:t>9/2/2019</w:t>
            </w:r>
          </w:p>
        </w:tc>
        <w:tc>
          <w:tcPr>
            <w:tcW w:w="2080" w:type="dxa"/>
            <w:vAlign w:val="bottom"/>
            <w:shd w:val="clear" w:color="auto" w:fill="E5E6E6"/>
          </w:tcPr>
          <w:p>
            <w:pPr>
              <w:jc w:val="right"/>
              <w:ind w:right="293"/>
              <w:spacing w:after="0" w:line="189" w:lineRule="exact"/>
              <w:rPr>
                <w:sz w:val="20"/>
                <w:szCs w:val="20"/>
                <w:color w:val="auto"/>
              </w:rPr>
            </w:pPr>
            <w:r>
              <w:rPr>
                <w:rFonts w:ascii="Arial" w:cs="Arial" w:eastAsia="Arial" w:hAnsi="Arial"/>
                <w:sz w:val="13"/>
                <w:szCs w:val="13"/>
                <w:color w:val="auto"/>
              </w:rPr>
              <w:t>5,578</w:t>
            </w:r>
            <w:r>
              <w:rPr>
                <w:rFonts w:ascii="Arial" w:cs="Arial" w:eastAsia="Arial" w:hAnsi="Arial"/>
                <w:sz w:val="21"/>
                <w:szCs w:val="21"/>
                <w:color w:val="auto"/>
                <w:vertAlign w:val="superscript"/>
              </w:rPr>
              <w:t>5</w:t>
            </w:r>
          </w:p>
        </w:tc>
        <w:tc>
          <w:tcPr>
            <w:tcW w:w="2120" w:type="dxa"/>
            <w:vAlign w:val="bottom"/>
            <w:gridSpan w:val="2"/>
            <w:shd w:val="clear" w:color="auto" w:fill="E5E6E6"/>
          </w:tcPr>
          <w:p>
            <w:pPr>
              <w:jc w:val="right"/>
              <w:ind w:right="288"/>
              <w:spacing w:after="0"/>
              <w:rPr>
                <w:sz w:val="20"/>
                <w:szCs w:val="20"/>
                <w:color w:val="auto"/>
              </w:rPr>
            </w:pPr>
            <w:r>
              <w:rPr>
                <w:rFonts w:ascii="Arial" w:cs="Arial" w:eastAsia="Arial" w:hAnsi="Arial"/>
                <w:sz w:val="14"/>
                <w:szCs w:val="14"/>
                <w:color w:val="auto"/>
              </w:rPr>
              <w:t>158,638</w:t>
            </w:r>
          </w:p>
        </w:tc>
        <w:tc>
          <w:tcPr>
            <w:tcW w:w="2080" w:type="dxa"/>
            <w:vAlign w:val="bottom"/>
            <w:gridSpan w:val="2"/>
            <w:shd w:val="clear" w:color="auto" w:fill="E5E6E6"/>
          </w:tcPr>
          <w:p>
            <w:pPr>
              <w:jc w:val="right"/>
              <w:ind w:right="248"/>
              <w:spacing w:after="0" w:line="189" w:lineRule="exact"/>
              <w:rPr>
                <w:sz w:val="20"/>
                <w:szCs w:val="20"/>
                <w:color w:val="auto"/>
              </w:rPr>
            </w:pPr>
            <w:r>
              <w:rPr>
                <w:rFonts w:ascii="Arial" w:cs="Arial" w:eastAsia="Arial" w:hAnsi="Arial"/>
                <w:sz w:val="13"/>
                <w:szCs w:val="13"/>
                <w:color w:val="auto"/>
              </w:rPr>
              <w:t>10,735</w:t>
            </w:r>
            <w:r>
              <w:rPr>
                <w:rFonts w:ascii="Arial" w:cs="Arial" w:eastAsia="Arial" w:hAnsi="Arial"/>
                <w:sz w:val="21"/>
                <w:szCs w:val="21"/>
                <w:color w:val="auto"/>
                <w:vertAlign w:val="superscript"/>
              </w:rPr>
              <w:t>6</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305,303</w:t>
            </w:r>
          </w:p>
        </w:tc>
        <w:tc>
          <w:tcPr>
            <w:tcW w:w="0" w:type="dxa"/>
            <w:vAlign w:val="bottom"/>
          </w:tcPr>
          <w:p>
            <w:pPr>
              <w:spacing w:after="0"/>
              <w:rPr>
                <w:sz w:val="1"/>
                <w:szCs w:val="1"/>
                <w:color w:val="auto"/>
              </w:rPr>
            </w:pPr>
          </w:p>
        </w:tc>
      </w:tr>
      <w:tr>
        <w:trPr>
          <w:trHeight w:val="176"/>
        </w:trPr>
        <w:tc>
          <w:tcPr>
            <w:tcW w:w="1820" w:type="dxa"/>
            <w:vAlign w:val="bottom"/>
            <w:shd w:val="clear" w:color="auto" w:fill="E5E6E6"/>
          </w:tcPr>
          <w:p>
            <w:pPr>
              <w:spacing w:after="0"/>
              <w:rPr>
                <w:sz w:val="15"/>
                <w:szCs w:val="15"/>
                <w:color w:val="auto"/>
              </w:rPr>
            </w:pPr>
          </w:p>
        </w:tc>
        <w:tc>
          <w:tcPr>
            <w:tcW w:w="960" w:type="dxa"/>
            <w:vAlign w:val="bottom"/>
            <w:tcBorders>
              <w:right w:val="single" w:sz="8" w:color="E5E6E6"/>
            </w:tcBorders>
            <w:shd w:val="clear" w:color="auto" w:fill="E5E6E6"/>
          </w:tcPr>
          <w:p>
            <w:pPr>
              <w:jc w:val="right"/>
              <w:spacing w:after="0"/>
              <w:rPr>
                <w:sz w:val="20"/>
                <w:szCs w:val="20"/>
                <w:color w:val="auto"/>
              </w:rPr>
            </w:pPr>
            <w:r>
              <w:rPr>
                <w:rFonts w:ascii="Arial" w:cs="Arial" w:eastAsia="Arial" w:hAnsi="Arial"/>
                <w:sz w:val="14"/>
                <w:szCs w:val="14"/>
                <w:color w:val="auto"/>
              </w:rPr>
              <w:t>9/1/2020</w:t>
            </w:r>
          </w:p>
        </w:tc>
        <w:tc>
          <w:tcPr>
            <w:tcW w:w="2080" w:type="dxa"/>
            <w:vAlign w:val="bottom"/>
            <w:shd w:val="clear" w:color="auto" w:fill="E5E6E6"/>
          </w:tcPr>
          <w:p>
            <w:pPr>
              <w:jc w:val="right"/>
              <w:ind w:right="293"/>
              <w:spacing w:after="0" w:line="176" w:lineRule="exact"/>
              <w:rPr>
                <w:sz w:val="20"/>
                <w:szCs w:val="20"/>
                <w:color w:val="auto"/>
              </w:rPr>
            </w:pPr>
            <w:r>
              <w:rPr>
                <w:rFonts w:ascii="Arial" w:cs="Arial" w:eastAsia="Arial" w:hAnsi="Arial"/>
                <w:sz w:val="13"/>
                <w:szCs w:val="13"/>
                <w:color w:val="auto"/>
              </w:rPr>
              <w:t>4,865</w:t>
            </w:r>
            <w:r>
              <w:rPr>
                <w:rFonts w:ascii="Arial" w:cs="Arial" w:eastAsia="Arial" w:hAnsi="Arial"/>
                <w:sz w:val="20"/>
                <w:szCs w:val="20"/>
                <w:color w:val="auto"/>
                <w:vertAlign w:val="superscript"/>
              </w:rPr>
              <w:t>7</w:t>
            </w:r>
          </w:p>
        </w:tc>
        <w:tc>
          <w:tcPr>
            <w:tcW w:w="2120" w:type="dxa"/>
            <w:vAlign w:val="bottom"/>
            <w:gridSpan w:val="2"/>
            <w:shd w:val="clear" w:color="auto" w:fill="E5E6E6"/>
          </w:tcPr>
          <w:p>
            <w:pPr>
              <w:jc w:val="right"/>
              <w:ind w:right="288"/>
              <w:spacing w:after="0"/>
              <w:rPr>
                <w:sz w:val="20"/>
                <w:szCs w:val="20"/>
                <w:color w:val="auto"/>
              </w:rPr>
            </w:pPr>
            <w:r>
              <w:rPr>
                <w:rFonts w:ascii="Arial" w:cs="Arial" w:eastAsia="Arial" w:hAnsi="Arial"/>
                <w:sz w:val="14"/>
                <w:szCs w:val="14"/>
                <w:color w:val="auto"/>
              </w:rPr>
              <w:t>138,361</w:t>
            </w:r>
          </w:p>
        </w:tc>
        <w:tc>
          <w:tcPr>
            <w:tcW w:w="2080" w:type="dxa"/>
            <w:vAlign w:val="bottom"/>
            <w:gridSpan w:val="2"/>
            <w:shd w:val="clear" w:color="auto" w:fill="E5E6E6"/>
          </w:tcPr>
          <w:p>
            <w:pPr>
              <w:jc w:val="right"/>
              <w:ind w:right="248"/>
              <w:spacing w:after="0" w:line="176" w:lineRule="exact"/>
              <w:rPr>
                <w:sz w:val="20"/>
                <w:szCs w:val="20"/>
                <w:color w:val="auto"/>
              </w:rPr>
            </w:pPr>
            <w:r>
              <w:rPr>
                <w:rFonts w:ascii="Arial" w:cs="Arial" w:eastAsia="Arial" w:hAnsi="Arial"/>
                <w:sz w:val="13"/>
                <w:szCs w:val="13"/>
                <w:color w:val="auto"/>
              </w:rPr>
              <w:t>21,296</w:t>
            </w:r>
            <w:r>
              <w:rPr>
                <w:rFonts w:ascii="Arial" w:cs="Arial" w:eastAsia="Arial" w:hAnsi="Arial"/>
                <w:sz w:val="20"/>
                <w:szCs w:val="20"/>
                <w:color w:val="auto"/>
                <w:vertAlign w:val="superscript"/>
              </w:rPr>
              <w:t>6</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605,658</w:t>
            </w:r>
          </w:p>
        </w:tc>
        <w:tc>
          <w:tcPr>
            <w:tcW w:w="0" w:type="dxa"/>
            <w:vAlign w:val="bottom"/>
          </w:tcPr>
          <w:p>
            <w:pPr>
              <w:spacing w:after="0"/>
              <w:rPr>
                <w:sz w:val="1"/>
                <w:szCs w:val="1"/>
                <w:color w:val="auto"/>
              </w:rPr>
            </w:pPr>
          </w:p>
        </w:tc>
      </w:tr>
      <w:tr>
        <w:trPr>
          <w:trHeight w:val="189"/>
        </w:trPr>
        <w:tc>
          <w:tcPr>
            <w:tcW w:w="182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960" w:type="dxa"/>
            <w:vAlign w:val="bottom"/>
          </w:tcPr>
          <w:p>
            <w:pPr>
              <w:jc w:val="right"/>
              <w:spacing w:after="0"/>
              <w:rPr>
                <w:sz w:val="20"/>
                <w:szCs w:val="20"/>
                <w:color w:val="auto"/>
              </w:rPr>
            </w:pPr>
            <w:r>
              <w:rPr>
                <w:rFonts w:ascii="Arial" w:cs="Arial" w:eastAsia="Arial" w:hAnsi="Arial"/>
                <w:sz w:val="14"/>
                <w:szCs w:val="14"/>
                <w:color w:val="auto"/>
              </w:rPr>
              <w:t>9/15/2017</w:t>
            </w:r>
          </w:p>
        </w:tc>
        <w:tc>
          <w:tcPr>
            <w:tcW w:w="2080" w:type="dxa"/>
            <w:vAlign w:val="bottom"/>
          </w:tcPr>
          <w:p>
            <w:pPr>
              <w:jc w:val="right"/>
              <w:ind w:right="293"/>
              <w:spacing w:after="0" w:line="189" w:lineRule="exact"/>
              <w:rPr>
                <w:sz w:val="20"/>
                <w:szCs w:val="20"/>
                <w:color w:val="auto"/>
              </w:rPr>
            </w:pPr>
            <w:r>
              <w:rPr>
                <w:rFonts w:ascii="Arial" w:cs="Arial" w:eastAsia="Arial" w:hAnsi="Arial"/>
                <w:sz w:val="13"/>
                <w:szCs w:val="13"/>
                <w:color w:val="auto"/>
              </w:rPr>
              <w:t>253</w:t>
            </w:r>
            <w:r>
              <w:rPr>
                <w:rFonts w:ascii="Arial" w:cs="Arial" w:eastAsia="Arial" w:hAnsi="Arial"/>
                <w:sz w:val="21"/>
                <w:szCs w:val="21"/>
                <w:color w:val="auto"/>
                <w:vertAlign w:val="superscript"/>
              </w:rPr>
              <w:t>3</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7,195</w:t>
            </w:r>
          </w:p>
        </w:tc>
        <w:tc>
          <w:tcPr>
            <w:tcW w:w="2080" w:type="dxa"/>
            <w:vAlign w:val="bottom"/>
            <w:gridSpan w:val="2"/>
          </w:tcPr>
          <w:p>
            <w:pPr>
              <w:jc w:val="right"/>
              <w:ind w:right="248"/>
              <w:spacing w:after="0" w:line="189" w:lineRule="exact"/>
              <w:rPr>
                <w:sz w:val="20"/>
                <w:szCs w:val="20"/>
                <w:color w:val="auto"/>
              </w:rPr>
            </w:pPr>
            <w:r>
              <w:rPr>
                <w:rFonts w:ascii="Arial" w:cs="Arial" w:eastAsia="Arial" w:hAnsi="Arial"/>
                <w:sz w:val="13"/>
                <w:szCs w:val="13"/>
                <w:color w:val="auto"/>
              </w:rPr>
              <w:t>296</w:t>
            </w:r>
            <w:r>
              <w:rPr>
                <w:rFonts w:ascii="Arial" w:cs="Arial" w:eastAsia="Arial" w:hAnsi="Arial"/>
                <w:sz w:val="21"/>
                <w:szCs w:val="21"/>
                <w:color w:val="auto"/>
                <w:vertAlign w:val="superscript"/>
              </w:rPr>
              <w:t>4</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8,418</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9/1/2018</w:t>
            </w:r>
          </w:p>
        </w:tc>
        <w:tc>
          <w:tcPr>
            <w:tcW w:w="2080" w:type="dxa"/>
            <w:vAlign w:val="bottom"/>
          </w:tcPr>
          <w:p>
            <w:pPr>
              <w:jc w:val="right"/>
              <w:ind w:right="293"/>
              <w:spacing w:after="0" w:line="189" w:lineRule="exact"/>
              <w:rPr>
                <w:sz w:val="20"/>
                <w:szCs w:val="20"/>
                <w:color w:val="auto"/>
              </w:rPr>
            </w:pPr>
            <w:r>
              <w:rPr>
                <w:rFonts w:ascii="Arial" w:cs="Arial" w:eastAsia="Arial" w:hAnsi="Arial"/>
                <w:sz w:val="13"/>
                <w:szCs w:val="13"/>
                <w:color w:val="auto"/>
              </w:rPr>
              <w:t>2,112</w:t>
            </w:r>
            <w:r>
              <w:rPr>
                <w:rFonts w:ascii="Arial" w:cs="Arial" w:eastAsia="Arial" w:hAnsi="Arial"/>
                <w:sz w:val="21"/>
                <w:szCs w:val="21"/>
                <w:color w:val="auto"/>
                <w:vertAlign w:val="superscript"/>
              </w:rPr>
              <w:t>5</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60,065</w:t>
            </w:r>
          </w:p>
        </w:tc>
        <w:tc>
          <w:tcPr>
            <w:tcW w:w="2080" w:type="dxa"/>
            <w:vAlign w:val="bottom"/>
            <w:gridSpan w:val="2"/>
          </w:tcPr>
          <w:p>
            <w:pPr>
              <w:jc w:val="right"/>
              <w:ind w:right="248"/>
              <w:spacing w:after="0" w:line="189" w:lineRule="exact"/>
              <w:rPr>
                <w:sz w:val="20"/>
                <w:szCs w:val="20"/>
                <w:color w:val="auto"/>
              </w:rPr>
            </w:pPr>
            <w:r>
              <w:rPr>
                <w:rFonts w:ascii="Arial" w:cs="Arial" w:eastAsia="Arial" w:hAnsi="Arial"/>
                <w:sz w:val="13"/>
                <w:szCs w:val="13"/>
                <w:color w:val="auto"/>
              </w:rPr>
              <w:t>3,169</w:t>
            </w:r>
            <w:r>
              <w:rPr>
                <w:rFonts w:ascii="Arial" w:cs="Arial" w:eastAsia="Arial" w:hAnsi="Arial"/>
                <w:sz w:val="21"/>
                <w:szCs w:val="21"/>
                <w:color w:val="auto"/>
                <w:vertAlign w:val="superscript"/>
              </w:rPr>
              <w:t>6</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90,126</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9/2/2019</w:t>
            </w:r>
          </w:p>
        </w:tc>
        <w:tc>
          <w:tcPr>
            <w:tcW w:w="2080" w:type="dxa"/>
            <w:vAlign w:val="bottom"/>
          </w:tcPr>
          <w:p>
            <w:pPr>
              <w:jc w:val="right"/>
              <w:ind w:right="293"/>
              <w:spacing w:after="0" w:line="189" w:lineRule="exact"/>
              <w:rPr>
                <w:sz w:val="20"/>
                <w:szCs w:val="20"/>
                <w:color w:val="auto"/>
              </w:rPr>
            </w:pPr>
            <w:r>
              <w:rPr>
                <w:rFonts w:ascii="Arial" w:cs="Arial" w:eastAsia="Arial" w:hAnsi="Arial"/>
                <w:sz w:val="13"/>
                <w:szCs w:val="13"/>
                <w:color w:val="auto"/>
              </w:rPr>
              <w:t>4,373</w:t>
            </w:r>
            <w:r>
              <w:rPr>
                <w:rFonts w:ascii="Arial" w:cs="Arial" w:eastAsia="Arial" w:hAnsi="Arial"/>
                <w:sz w:val="21"/>
                <w:szCs w:val="21"/>
                <w:color w:val="auto"/>
                <w:vertAlign w:val="superscript"/>
              </w:rPr>
              <w:t>5</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124,368</w:t>
            </w:r>
          </w:p>
        </w:tc>
        <w:tc>
          <w:tcPr>
            <w:tcW w:w="2080" w:type="dxa"/>
            <w:vAlign w:val="bottom"/>
            <w:gridSpan w:val="2"/>
          </w:tcPr>
          <w:p>
            <w:pPr>
              <w:jc w:val="right"/>
              <w:ind w:right="248"/>
              <w:spacing w:after="0" w:line="189" w:lineRule="exact"/>
              <w:rPr>
                <w:sz w:val="20"/>
                <w:szCs w:val="20"/>
                <w:color w:val="auto"/>
              </w:rPr>
            </w:pPr>
            <w:r>
              <w:rPr>
                <w:rFonts w:ascii="Arial" w:cs="Arial" w:eastAsia="Arial" w:hAnsi="Arial"/>
                <w:sz w:val="13"/>
                <w:szCs w:val="13"/>
                <w:color w:val="auto"/>
              </w:rPr>
              <w:t>8,417</w:t>
            </w:r>
            <w:r>
              <w:rPr>
                <w:rFonts w:ascii="Arial" w:cs="Arial" w:eastAsia="Arial" w:hAnsi="Arial"/>
                <w:sz w:val="21"/>
                <w:szCs w:val="21"/>
                <w:color w:val="auto"/>
                <w:vertAlign w:val="superscript"/>
              </w:rPr>
              <w:t>6</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239,379</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9/1/2020</w:t>
            </w:r>
          </w:p>
        </w:tc>
        <w:tc>
          <w:tcPr>
            <w:tcW w:w="2080" w:type="dxa"/>
            <w:vAlign w:val="bottom"/>
          </w:tcPr>
          <w:p>
            <w:pPr>
              <w:jc w:val="right"/>
              <w:ind w:right="293"/>
              <w:spacing w:after="0" w:line="189" w:lineRule="exact"/>
              <w:rPr>
                <w:sz w:val="20"/>
                <w:szCs w:val="20"/>
                <w:color w:val="auto"/>
              </w:rPr>
            </w:pPr>
            <w:r>
              <w:rPr>
                <w:rFonts w:ascii="Arial" w:cs="Arial" w:eastAsia="Arial" w:hAnsi="Arial"/>
                <w:sz w:val="13"/>
                <w:szCs w:val="13"/>
                <w:color w:val="auto"/>
              </w:rPr>
              <w:t>3,823</w:t>
            </w:r>
            <w:r>
              <w:rPr>
                <w:rFonts w:ascii="Arial" w:cs="Arial" w:eastAsia="Arial" w:hAnsi="Arial"/>
                <w:sz w:val="21"/>
                <w:szCs w:val="21"/>
                <w:color w:val="auto"/>
                <w:vertAlign w:val="superscript"/>
              </w:rPr>
              <w:t>7</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108,726</w:t>
            </w:r>
          </w:p>
        </w:tc>
        <w:tc>
          <w:tcPr>
            <w:tcW w:w="2080" w:type="dxa"/>
            <w:vAlign w:val="bottom"/>
            <w:gridSpan w:val="2"/>
          </w:tcPr>
          <w:p>
            <w:pPr>
              <w:jc w:val="right"/>
              <w:ind w:right="248"/>
              <w:spacing w:after="0" w:line="189" w:lineRule="exact"/>
              <w:rPr>
                <w:sz w:val="20"/>
                <w:szCs w:val="20"/>
                <w:color w:val="auto"/>
              </w:rPr>
            </w:pPr>
            <w:r>
              <w:rPr>
                <w:rFonts w:ascii="Arial" w:cs="Arial" w:eastAsia="Arial" w:hAnsi="Arial"/>
                <w:sz w:val="13"/>
                <w:szCs w:val="13"/>
                <w:color w:val="auto"/>
              </w:rPr>
              <w:t>16,732</w:t>
            </w:r>
            <w:r>
              <w:rPr>
                <w:rFonts w:ascii="Arial" w:cs="Arial" w:eastAsia="Arial" w:hAnsi="Arial"/>
                <w:sz w:val="21"/>
                <w:szCs w:val="21"/>
                <w:color w:val="auto"/>
                <w:vertAlign w:val="superscript"/>
              </w:rPr>
              <w:t>6</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475,858</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12/1/2020</w:t>
            </w:r>
          </w:p>
        </w:tc>
        <w:tc>
          <w:tcPr>
            <w:tcW w:w="2080" w:type="dxa"/>
            <w:vAlign w:val="bottom"/>
          </w:tcPr>
          <w:p>
            <w:pPr>
              <w:jc w:val="right"/>
              <w:ind w:right="293"/>
              <w:spacing w:after="0" w:line="176" w:lineRule="exact"/>
              <w:rPr>
                <w:sz w:val="20"/>
                <w:szCs w:val="20"/>
                <w:color w:val="auto"/>
              </w:rPr>
            </w:pPr>
            <w:r>
              <w:rPr>
                <w:rFonts w:ascii="Arial" w:cs="Arial" w:eastAsia="Arial" w:hAnsi="Arial"/>
                <w:sz w:val="13"/>
                <w:szCs w:val="13"/>
                <w:color w:val="auto"/>
              </w:rPr>
              <w:t>1,552</w:t>
            </w:r>
            <w:r>
              <w:rPr>
                <w:rFonts w:ascii="Arial" w:cs="Arial" w:eastAsia="Arial" w:hAnsi="Arial"/>
                <w:sz w:val="20"/>
                <w:szCs w:val="20"/>
                <w:color w:val="auto"/>
                <w:vertAlign w:val="superscript"/>
              </w:rPr>
              <w:t>7</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44,139</w:t>
            </w:r>
          </w:p>
        </w:tc>
        <w:tc>
          <w:tcPr>
            <w:tcW w:w="20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20" w:type="dxa"/>
            <w:vAlign w:val="bottom"/>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960" w:type="dxa"/>
            <w:vAlign w:val="bottom"/>
            <w:tcBorders>
              <w:right w:val="single" w:sz="8" w:color="E5E6E6"/>
            </w:tcBorders>
            <w:shd w:val="clear" w:color="auto" w:fill="E5E6E6"/>
          </w:tcPr>
          <w:p>
            <w:pPr>
              <w:jc w:val="right"/>
              <w:spacing w:after="0"/>
              <w:rPr>
                <w:sz w:val="20"/>
                <w:szCs w:val="20"/>
                <w:color w:val="auto"/>
              </w:rPr>
            </w:pPr>
            <w:r>
              <w:rPr>
                <w:rFonts w:ascii="Arial" w:cs="Arial" w:eastAsia="Arial" w:hAnsi="Arial"/>
                <w:sz w:val="14"/>
                <w:szCs w:val="14"/>
                <w:color w:val="auto"/>
              </w:rPr>
              <w:t>9/15/2017</w:t>
            </w:r>
          </w:p>
        </w:tc>
        <w:tc>
          <w:tcPr>
            <w:tcW w:w="2080" w:type="dxa"/>
            <w:vAlign w:val="bottom"/>
            <w:shd w:val="clear" w:color="auto" w:fill="E5E6E6"/>
          </w:tcPr>
          <w:p>
            <w:pPr>
              <w:jc w:val="right"/>
              <w:ind w:right="293"/>
              <w:spacing w:after="0" w:line="189" w:lineRule="exact"/>
              <w:rPr>
                <w:sz w:val="20"/>
                <w:szCs w:val="20"/>
                <w:color w:val="auto"/>
              </w:rPr>
            </w:pPr>
            <w:r>
              <w:rPr>
                <w:rFonts w:ascii="Arial" w:cs="Arial" w:eastAsia="Arial" w:hAnsi="Arial"/>
                <w:sz w:val="13"/>
                <w:szCs w:val="13"/>
                <w:color w:val="auto"/>
              </w:rPr>
              <w:t>385</w:t>
            </w:r>
            <w:r>
              <w:rPr>
                <w:rFonts w:ascii="Arial" w:cs="Arial" w:eastAsia="Arial" w:hAnsi="Arial"/>
                <w:sz w:val="21"/>
                <w:szCs w:val="21"/>
                <w:color w:val="auto"/>
                <w:vertAlign w:val="superscript"/>
              </w:rPr>
              <w:t>3</w:t>
            </w:r>
          </w:p>
        </w:tc>
        <w:tc>
          <w:tcPr>
            <w:tcW w:w="2120" w:type="dxa"/>
            <w:vAlign w:val="bottom"/>
            <w:gridSpan w:val="2"/>
            <w:shd w:val="clear" w:color="auto" w:fill="E5E6E6"/>
          </w:tcPr>
          <w:p>
            <w:pPr>
              <w:jc w:val="right"/>
              <w:ind w:right="288"/>
              <w:spacing w:after="0"/>
              <w:rPr>
                <w:sz w:val="20"/>
                <w:szCs w:val="20"/>
                <w:color w:val="auto"/>
              </w:rPr>
            </w:pPr>
            <w:r>
              <w:rPr>
                <w:rFonts w:ascii="Arial" w:cs="Arial" w:eastAsia="Arial" w:hAnsi="Arial"/>
                <w:sz w:val="14"/>
                <w:szCs w:val="14"/>
                <w:color w:val="auto"/>
              </w:rPr>
              <w:t>10,949</w:t>
            </w:r>
          </w:p>
        </w:tc>
        <w:tc>
          <w:tcPr>
            <w:tcW w:w="2080" w:type="dxa"/>
            <w:vAlign w:val="bottom"/>
            <w:gridSpan w:val="2"/>
            <w:shd w:val="clear" w:color="auto" w:fill="E5E6E6"/>
          </w:tcPr>
          <w:p>
            <w:pPr>
              <w:jc w:val="right"/>
              <w:ind w:right="248"/>
              <w:spacing w:after="0" w:line="189" w:lineRule="exact"/>
              <w:rPr>
                <w:sz w:val="20"/>
                <w:szCs w:val="20"/>
                <w:color w:val="auto"/>
              </w:rPr>
            </w:pPr>
            <w:r>
              <w:rPr>
                <w:rFonts w:ascii="Arial" w:cs="Arial" w:eastAsia="Arial" w:hAnsi="Arial"/>
                <w:sz w:val="13"/>
                <w:szCs w:val="13"/>
                <w:color w:val="auto"/>
              </w:rPr>
              <w:t>449</w:t>
            </w:r>
            <w:r>
              <w:rPr>
                <w:rFonts w:ascii="Arial" w:cs="Arial" w:eastAsia="Arial" w:hAnsi="Arial"/>
                <w:sz w:val="21"/>
                <w:szCs w:val="21"/>
                <w:color w:val="auto"/>
                <w:vertAlign w:val="superscript"/>
              </w:rPr>
              <w:t>4</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12,770</w:t>
            </w:r>
          </w:p>
        </w:tc>
        <w:tc>
          <w:tcPr>
            <w:tcW w:w="0" w:type="dxa"/>
            <w:vAlign w:val="bottom"/>
          </w:tcPr>
          <w:p>
            <w:pPr>
              <w:spacing w:after="0"/>
              <w:rPr>
                <w:sz w:val="1"/>
                <w:szCs w:val="1"/>
                <w:color w:val="auto"/>
              </w:rPr>
            </w:pPr>
          </w:p>
        </w:tc>
      </w:tr>
      <w:tr>
        <w:trPr>
          <w:trHeight w:val="189"/>
        </w:trPr>
        <w:tc>
          <w:tcPr>
            <w:tcW w:w="1820" w:type="dxa"/>
            <w:vAlign w:val="bottom"/>
            <w:shd w:val="clear" w:color="auto" w:fill="E5E6E6"/>
          </w:tcPr>
          <w:p>
            <w:pPr>
              <w:spacing w:after="0"/>
              <w:rPr>
                <w:sz w:val="16"/>
                <w:szCs w:val="16"/>
                <w:color w:val="auto"/>
              </w:rPr>
            </w:pPr>
          </w:p>
        </w:tc>
        <w:tc>
          <w:tcPr>
            <w:tcW w:w="960" w:type="dxa"/>
            <w:vAlign w:val="bottom"/>
            <w:tcBorders>
              <w:right w:val="single" w:sz="8" w:color="E5E6E6"/>
            </w:tcBorders>
            <w:shd w:val="clear" w:color="auto" w:fill="E5E6E6"/>
          </w:tcPr>
          <w:p>
            <w:pPr>
              <w:jc w:val="right"/>
              <w:spacing w:after="0"/>
              <w:rPr>
                <w:sz w:val="20"/>
                <w:szCs w:val="20"/>
                <w:color w:val="auto"/>
              </w:rPr>
            </w:pPr>
            <w:r>
              <w:rPr>
                <w:rFonts w:ascii="Arial" w:cs="Arial" w:eastAsia="Arial" w:hAnsi="Arial"/>
                <w:sz w:val="14"/>
                <w:szCs w:val="14"/>
                <w:color w:val="auto"/>
              </w:rPr>
              <w:t>9/1/2018</w:t>
            </w:r>
          </w:p>
        </w:tc>
        <w:tc>
          <w:tcPr>
            <w:tcW w:w="2080" w:type="dxa"/>
            <w:vAlign w:val="bottom"/>
            <w:shd w:val="clear" w:color="auto" w:fill="E5E6E6"/>
          </w:tcPr>
          <w:p>
            <w:pPr>
              <w:jc w:val="right"/>
              <w:ind w:right="293"/>
              <w:spacing w:after="0" w:line="189" w:lineRule="exact"/>
              <w:rPr>
                <w:sz w:val="20"/>
                <w:szCs w:val="20"/>
                <w:color w:val="auto"/>
              </w:rPr>
            </w:pPr>
            <w:r>
              <w:rPr>
                <w:rFonts w:ascii="Arial" w:cs="Arial" w:eastAsia="Arial" w:hAnsi="Arial"/>
                <w:sz w:val="13"/>
                <w:szCs w:val="13"/>
                <w:color w:val="auto"/>
              </w:rPr>
              <w:t>2,779</w:t>
            </w:r>
            <w:r>
              <w:rPr>
                <w:rFonts w:ascii="Arial" w:cs="Arial" w:eastAsia="Arial" w:hAnsi="Arial"/>
                <w:sz w:val="21"/>
                <w:szCs w:val="21"/>
                <w:color w:val="auto"/>
                <w:vertAlign w:val="superscript"/>
              </w:rPr>
              <w:t>5</w:t>
            </w:r>
          </w:p>
        </w:tc>
        <w:tc>
          <w:tcPr>
            <w:tcW w:w="2120" w:type="dxa"/>
            <w:vAlign w:val="bottom"/>
            <w:gridSpan w:val="2"/>
            <w:shd w:val="clear" w:color="auto" w:fill="E5E6E6"/>
          </w:tcPr>
          <w:p>
            <w:pPr>
              <w:jc w:val="right"/>
              <w:ind w:right="288"/>
              <w:spacing w:after="0"/>
              <w:rPr>
                <w:sz w:val="20"/>
                <w:szCs w:val="20"/>
                <w:color w:val="auto"/>
              </w:rPr>
            </w:pPr>
            <w:r>
              <w:rPr>
                <w:rFonts w:ascii="Arial" w:cs="Arial" w:eastAsia="Arial" w:hAnsi="Arial"/>
                <w:sz w:val="14"/>
                <w:szCs w:val="14"/>
                <w:color w:val="auto"/>
              </w:rPr>
              <w:t>79,035</w:t>
            </w:r>
          </w:p>
        </w:tc>
        <w:tc>
          <w:tcPr>
            <w:tcW w:w="2080" w:type="dxa"/>
            <w:vAlign w:val="bottom"/>
            <w:gridSpan w:val="2"/>
            <w:shd w:val="clear" w:color="auto" w:fill="E5E6E6"/>
          </w:tcPr>
          <w:p>
            <w:pPr>
              <w:jc w:val="right"/>
              <w:ind w:right="248"/>
              <w:spacing w:after="0" w:line="189" w:lineRule="exact"/>
              <w:rPr>
                <w:sz w:val="20"/>
                <w:szCs w:val="20"/>
                <w:color w:val="auto"/>
              </w:rPr>
            </w:pPr>
            <w:r>
              <w:rPr>
                <w:rFonts w:ascii="Arial" w:cs="Arial" w:eastAsia="Arial" w:hAnsi="Arial"/>
                <w:sz w:val="13"/>
                <w:szCs w:val="13"/>
                <w:color w:val="auto"/>
              </w:rPr>
              <w:t>4,172</w:t>
            </w:r>
            <w:r>
              <w:rPr>
                <w:rFonts w:ascii="Arial" w:cs="Arial" w:eastAsia="Arial" w:hAnsi="Arial"/>
                <w:sz w:val="21"/>
                <w:szCs w:val="21"/>
                <w:color w:val="auto"/>
                <w:vertAlign w:val="superscript"/>
              </w:rPr>
              <w:t>6</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118,652</w:t>
            </w:r>
          </w:p>
        </w:tc>
        <w:tc>
          <w:tcPr>
            <w:tcW w:w="0" w:type="dxa"/>
            <w:vAlign w:val="bottom"/>
          </w:tcPr>
          <w:p>
            <w:pPr>
              <w:spacing w:after="0"/>
              <w:rPr>
                <w:sz w:val="1"/>
                <w:szCs w:val="1"/>
                <w:color w:val="auto"/>
              </w:rPr>
            </w:pPr>
          </w:p>
        </w:tc>
      </w:tr>
      <w:tr>
        <w:trPr>
          <w:trHeight w:val="189"/>
        </w:trPr>
        <w:tc>
          <w:tcPr>
            <w:tcW w:w="1820" w:type="dxa"/>
            <w:vAlign w:val="bottom"/>
            <w:shd w:val="clear" w:color="auto" w:fill="E5E6E6"/>
          </w:tcPr>
          <w:p>
            <w:pPr>
              <w:spacing w:after="0"/>
              <w:rPr>
                <w:sz w:val="16"/>
                <w:szCs w:val="16"/>
                <w:color w:val="auto"/>
              </w:rPr>
            </w:pPr>
          </w:p>
        </w:tc>
        <w:tc>
          <w:tcPr>
            <w:tcW w:w="960" w:type="dxa"/>
            <w:vAlign w:val="bottom"/>
            <w:tcBorders>
              <w:right w:val="single" w:sz="8" w:color="E5E6E6"/>
            </w:tcBorders>
            <w:shd w:val="clear" w:color="auto" w:fill="E5E6E6"/>
          </w:tcPr>
          <w:p>
            <w:pPr>
              <w:jc w:val="right"/>
              <w:spacing w:after="0"/>
              <w:rPr>
                <w:sz w:val="20"/>
                <w:szCs w:val="20"/>
                <w:color w:val="auto"/>
              </w:rPr>
            </w:pPr>
            <w:r>
              <w:rPr>
                <w:rFonts w:ascii="Arial" w:cs="Arial" w:eastAsia="Arial" w:hAnsi="Arial"/>
                <w:sz w:val="14"/>
                <w:szCs w:val="14"/>
                <w:color w:val="auto"/>
              </w:rPr>
              <w:t>9/2/2019</w:t>
            </w:r>
          </w:p>
        </w:tc>
        <w:tc>
          <w:tcPr>
            <w:tcW w:w="2080" w:type="dxa"/>
            <w:vAlign w:val="bottom"/>
            <w:shd w:val="clear" w:color="auto" w:fill="E5E6E6"/>
          </w:tcPr>
          <w:p>
            <w:pPr>
              <w:jc w:val="right"/>
              <w:ind w:right="293"/>
              <w:spacing w:after="0" w:line="189" w:lineRule="exact"/>
              <w:rPr>
                <w:sz w:val="20"/>
                <w:szCs w:val="20"/>
                <w:color w:val="auto"/>
              </w:rPr>
            </w:pPr>
            <w:r>
              <w:rPr>
                <w:rFonts w:ascii="Arial" w:cs="Arial" w:eastAsia="Arial" w:hAnsi="Arial"/>
                <w:sz w:val="13"/>
                <w:szCs w:val="13"/>
                <w:color w:val="auto"/>
              </w:rPr>
              <w:t>4,373</w:t>
            </w:r>
            <w:r>
              <w:rPr>
                <w:rFonts w:ascii="Arial" w:cs="Arial" w:eastAsia="Arial" w:hAnsi="Arial"/>
                <w:sz w:val="21"/>
                <w:szCs w:val="21"/>
                <w:color w:val="auto"/>
                <w:vertAlign w:val="superscript"/>
              </w:rPr>
              <w:t>5</w:t>
            </w:r>
          </w:p>
        </w:tc>
        <w:tc>
          <w:tcPr>
            <w:tcW w:w="2120" w:type="dxa"/>
            <w:vAlign w:val="bottom"/>
            <w:gridSpan w:val="2"/>
            <w:shd w:val="clear" w:color="auto" w:fill="E5E6E6"/>
          </w:tcPr>
          <w:p>
            <w:pPr>
              <w:jc w:val="right"/>
              <w:ind w:right="288"/>
              <w:spacing w:after="0"/>
              <w:rPr>
                <w:sz w:val="20"/>
                <w:szCs w:val="20"/>
                <w:color w:val="auto"/>
              </w:rPr>
            </w:pPr>
            <w:r>
              <w:rPr>
                <w:rFonts w:ascii="Arial" w:cs="Arial" w:eastAsia="Arial" w:hAnsi="Arial"/>
                <w:sz w:val="14"/>
                <w:szCs w:val="14"/>
                <w:color w:val="auto"/>
              </w:rPr>
              <w:t>124,368</w:t>
            </w:r>
          </w:p>
        </w:tc>
        <w:tc>
          <w:tcPr>
            <w:tcW w:w="2080" w:type="dxa"/>
            <w:vAlign w:val="bottom"/>
            <w:gridSpan w:val="2"/>
            <w:shd w:val="clear" w:color="auto" w:fill="E5E6E6"/>
          </w:tcPr>
          <w:p>
            <w:pPr>
              <w:jc w:val="right"/>
              <w:ind w:right="248"/>
              <w:spacing w:after="0" w:line="189" w:lineRule="exact"/>
              <w:rPr>
                <w:sz w:val="20"/>
                <w:szCs w:val="20"/>
                <w:color w:val="auto"/>
              </w:rPr>
            </w:pPr>
            <w:r>
              <w:rPr>
                <w:rFonts w:ascii="Arial" w:cs="Arial" w:eastAsia="Arial" w:hAnsi="Arial"/>
                <w:sz w:val="13"/>
                <w:szCs w:val="13"/>
                <w:color w:val="auto"/>
              </w:rPr>
              <w:t>8,417</w:t>
            </w:r>
            <w:r>
              <w:rPr>
                <w:rFonts w:ascii="Arial" w:cs="Arial" w:eastAsia="Arial" w:hAnsi="Arial"/>
                <w:sz w:val="21"/>
                <w:szCs w:val="21"/>
                <w:color w:val="auto"/>
                <w:vertAlign w:val="superscript"/>
              </w:rPr>
              <w:t>6</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239,379</w:t>
            </w:r>
          </w:p>
        </w:tc>
        <w:tc>
          <w:tcPr>
            <w:tcW w:w="0" w:type="dxa"/>
            <w:vAlign w:val="bottom"/>
          </w:tcPr>
          <w:p>
            <w:pPr>
              <w:spacing w:after="0"/>
              <w:rPr>
                <w:sz w:val="1"/>
                <w:szCs w:val="1"/>
                <w:color w:val="auto"/>
              </w:rPr>
            </w:pPr>
          </w:p>
        </w:tc>
      </w:tr>
      <w:tr>
        <w:trPr>
          <w:trHeight w:val="189"/>
        </w:trPr>
        <w:tc>
          <w:tcPr>
            <w:tcW w:w="1820" w:type="dxa"/>
            <w:vAlign w:val="bottom"/>
            <w:shd w:val="clear" w:color="auto" w:fill="E5E6E6"/>
          </w:tcPr>
          <w:p>
            <w:pPr>
              <w:spacing w:after="0"/>
              <w:rPr>
                <w:sz w:val="16"/>
                <w:szCs w:val="16"/>
                <w:color w:val="auto"/>
              </w:rPr>
            </w:pPr>
          </w:p>
        </w:tc>
        <w:tc>
          <w:tcPr>
            <w:tcW w:w="960" w:type="dxa"/>
            <w:vAlign w:val="bottom"/>
            <w:tcBorders>
              <w:right w:val="single" w:sz="8" w:color="E5E6E6"/>
            </w:tcBorders>
            <w:shd w:val="clear" w:color="auto" w:fill="E5E6E6"/>
          </w:tcPr>
          <w:p>
            <w:pPr>
              <w:jc w:val="right"/>
              <w:spacing w:after="0"/>
              <w:rPr>
                <w:sz w:val="20"/>
                <w:szCs w:val="20"/>
                <w:color w:val="auto"/>
              </w:rPr>
            </w:pPr>
            <w:r>
              <w:rPr>
                <w:rFonts w:ascii="Arial" w:cs="Arial" w:eastAsia="Arial" w:hAnsi="Arial"/>
                <w:sz w:val="14"/>
                <w:szCs w:val="14"/>
                <w:color w:val="auto"/>
              </w:rPr>
              <w:t>9/1/2020</w:t>
            </w:r>
          </w:p>
        </w:tc>
        <w:tc>
          <w:tcPr>
            <w:tcW w:w="2080" w:type="dxa"/>
            <w:vAlign w:val="bottom"/>
            <w:shd w:val="clear" w:color="auto" w:fill="E5E6E6"/>
          </w:tcPr>
          <w:p>
            <w:pPr>
              <w:jc w:val="right"/>
              <w:ind w:right="293"/>
              <w:spacing w:after="0" w:line="189" w:lineRule="exact"/>
              <w:rPr>
                <w:sz w:val="20"/>
                <w:szCs w:val="20"/>
                <w:color w:val="auto"/>
              </w:rPr>
            </w:pPr>
            <w:r>
              <w:rPr>
                <w:rFonts w:ascii="Arial" w:cs="Arial" w:eastAsia="Arial" w:hAnsi="Arial"/>
                <w:sz w:val="13"/>
                <w:szCs w:val="13"/>
                <w:color w:val="auto"/>
              </w:rPr>
              <w:t>3,823</w:t>
            </w:r>
            <w:r>
              <w:rPr>
                <w:rFonts w:ascii="Arial" w:cs="Arial" w:eastAsia="Arial" w:hAnsi="Arial"/>
                <w:sz w:val="21"/>
                <w:szCs w:val="21"/>
                <w:color w:val="auto"/>
                <w:vertAlign w:val="superscript"/>
              </w:rPr>
              <w:t>7</w:t>
            </w:r>
          </w:p>
        </w:tc>
        <w:tc>
          <w:tcPr>
            <w:tcW w:w="2120" w:type="dxa"/>
            <w:vAlign w:val="bottom"/>
            <w:gridSpan w:val="2"/>
            <w:shd w:val="clear" w:color="auto" w:fill="E5E6E6"/>
          </w:tcPr>
          <w:p>
            <w:pPr>
              <w:jc w:val="right"/>
              <w:ind w:right="288"/>
              <w:spacing w:after="0"/>
              <w:rPr>
                <w:sz w:val="20"/>
                <w:szCs w:val="20"/>
                <w:color w:val="auto"/>
              </w:rPr>
            </w:pPr>
            <w:r>
              <w:rPr>
                <w:rFonts w:ascii="Arial" w:cs="Arial" w:eastAsia="Arial" w:hAnsi="Arial"/>
                <w:sz w:val="14"/>
                <w:szCs w:val="14"/>
                <w:color w:val="auto"/>
              </w:rPr>
              <w:t>108,726</w:t>
            </w:r>
          </w:p>
        </w:tc>
        <w:tc>
          <w:tcPr>
            <w:tcW w:w="2080" w:type="dxa"/>
            <w:vAlign w:val="bottom"/>
            <w:gridSpan w:val="2"/>
            <w:shd w:val="clear" w:color="auto" w:fill="E5E6E6"/>
          </w:tcPr>
          <w:p>
            <w:pPr>
              <w:jc w:val="right"/>
              <w:ind w:right="248"/>
              <w:spacing w:after="0" w:line="189" w:lineRule="exact"/>
              <w:rPr>
                <w:sz w:val="20"/>
                <w:szCs w:val="20"/>
                <w:color w:val="auto"/>
              </w:rPr>
            </w:pPr>
            <w:r>
              <w:rPr>
                <w:rFonts w:ascii="Arial" w:cs="Arial" w:eastAsia="Arial" w:hAnsi="Arial"/>
                <w:sz w:val="13"/>
                <w:szCs w:val="13"/>
                <w:color w:val="auto"/>
              </w:rPr>
              <w:t>16,732</w:t>
            </w:r>
            <w:r>
              <w:rPr>
                <w:rFonts w:ascii="Arial" w:cs="Arial" w:eastAsia="Arial" w:hAnsi="Arial"/>
                <w:sz w:val="21"/>
                <w:szCs w:val="21"/>
                <w:color w:val="auto"/>
                <w:vertAlign w:val="superscript"/>
              </w:rPr>
              <w:t>6</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475,858</w:t>
            </w:r>
          </w:p>
        </w:tc>
        <w:tc>
          <w:tcPr>
            <w:tcW w:w="0" w:type="dxa"/>
            <w:vAlign w:val="bottom"/>
          </w:tcPr>
          <w:p>
            <w:pPr>
              <w:spacing w:after="0"/>
              <w:rPr>
                <w:sz w:val="1"/>
                <w:szCs w:val="1"/>
                <w:color w:val="auto"/>
              </w:rPr>
            </w:pPr>
          </w:p>
        </w:tc>
      </w:tr>
      <w:tr>
        <w:trPr>
          <w:trHeight w:val="176"/>
        </w:trPr>
        <w:tc>
          <w:tcPr>
            <w:tcW w:w="1820" w:type="dxa"/>
            <w:vAlign w:val="bottom"/>
            <w:shd w:val="clear" w:color="auto" w:fill="E5E6E6"/>
          </w:tcPr>
          <w:p>
            <w:pPr>
              <w:spacing w:after="0"/>
              <w:rPr>
                <w:sz w:val="15"/>
                <w:szCs w:val="15"/>
                <w:color w:val="auto"/>
              </w:rPr>
            </w:pPr>
          </w:p>
        </w:tc>
        <w:tc>
          <w:tcPr>
            <w:tcW w:w="960" w:type="dxa"/>
            <w:vAlign w:val="bottom"/>
            <w:tcBorders>
              <w:right w:val="single" w:sz="8" w:color="E5E6E6"/>
            </w:tcBorders>
            <w:shd w:val="clear" w:color="auto" w:fill="E5E6E6"/>
          </w:tcPr>
          <w:p>
            <w:pPr>
              <w:jc w:val="right"/>
              <w:spacing w:after="0"/>
              <w:rPr>
                <w:sz w:val="20"/>
                <w:szCs w:val="20"/>
                <w:color w:val="auto"/>
              </w:rPr>
            </w:pPr>
            <w:r>
              <w:rPr>
                <w:rFonts w:ascii="Arial" w:cs="Arial" w:eastAsia="Arial" w:hAnsi="Arial"/>
                <w:sz w:val="14"/>
                <w:szCs w:val="14"/>
                <w:color w:val="auto"/>
              </w:rPr>
              <w:t>12/1/2020</w:t>
            </w:r>
          </w:p>
        </w:tc>
        <w:tc>
          <w:tcPr>
            <w:tcW w:w="2080" w:type="dxa"/>
            <w:vAlign w:val="bottom"/>
            <w:shd w:val="clear" w:color="auto" w:fill="E5E6E6"/>
          </w:tcPr>
          <w:p>
            <w:pPr>
              <w:jc w:val="right"/>
              <w:ind w:right="293"/>
              <w:spacing w:after="0" w:line="176" w:lineRule="exact"/>
              <w:rPr>
                <w:sz w:val="20"/>
                <w:szCs w:val="20"/>
                <w:color w:val="auto"/>
              </w:rPr>
            </w:pPr>
            <w:r>
              <w:rPr>
                <w:rFonts w:ascii="Arial" w:cs="Arial" w:eastAsia="Arial" w:hAnsi="Arial"/>
                <w:sz w:val="13"/>
                <w:szCs w:val="13"/>
                <w:color w:val="auto"/>
              </w:rPr>
              <w:t>1,552</w:t>
            </w:r>
            <w:r>
              <w:rPr>
                <w:rFonts w:ascii="Arial" w:cs="Arial" w:eastAsia="Arial" w:hAnsi="Arial"/>
                <w:sz w:val="20"/>
                <w:szCs w:val="20"/>
                <w:color w:val="auto"/>
                <w:vertAlign w:val="superscript"/>
              </w:rPr>
              <w:t>7</w:t>
            </w:r>
          </w:p>
        </w:tc>
        <w:tc>
          <w:tcPr>
            <w:tcW w:w="2120" w:type="dxa"/>
            <w:vAlign w:val="bottom"/>
            <w:gridSpan w:val="2"/>
            <w:shd w:val="clear" w:color="auto" w:fill="E5E6E6"/>
          </w:tcPr>
          <w:p>
            <w:pPr>
              <w:jc w:val="right"/>
              <w:ind w:right="288"/>
              <w:spacing w:after="0"/>
              <w:rPr>
                <w:sz w:val="20"/>
                <w:szCs w:val="20"/>
                <w:color w:val="auto"/>
              </w:rPr>
            </w:pPr>
            <w:r>
              <w:rPr>
                <w:rFonts w:ascii="Arial" w:cs="Arial" w:eastAsia="Arial" w:hAnsi="Arial"/>
                <w:sz w:val="14"/>
                <w:szCs w:val="14"/>
                <w:color w:val="auto"/>
              </w:rPr>
              <w:t>44,139</w:t>
            </w:r>
          </w:p>
        </w:tc>
        <w:tc>
          <w:tcPr>
            <w:tcW w:w="2080" w:type="dxa"/>
            <w:vAlign w:val="bottom"/>
            <w:gridSpan w:val="2"/>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20" w:type="dxa"/>
            <w:vAlign w:val="bottom"/>
          </w:tcPr>
          <w:p>
            <w:pPr>
              <w:ind w:left="100"/>
              <w:spacing w:after="0"/>
              <w:rPr>
                <w:sz w:val="20"/>
                <w:szCs w:val="20"/>
                <w:color w:val="auto"/>
              </w:rPr>
            </w:pPr>
            <w:r>
              <w:rPr>
                <w:rFonts w:ascii="Arial" w:cs="Arial" w:eastAsia="Arial" w:hAnsi="Arial"/>
                <w:sz w:val="14"/>
                <w:szCs w:val="14"/>
                <w:color w:val="auto"/>
              </w:rPr>
              <w:t>Melinda Davis Lux</w:t>
            </w:r>
          </w:p>
        </w:tc>
        <w:tc>
          <w:tcPr>
            <w:tcW w:w="960" w:type="dxa"/>
            <w:vAlign w:val="bottom"/>
          </w:tcPr>
          <w:p>
            <w:pPr>
              <w:jc w:val="right"/>
              <w:spacing w:after="0"/>
              <w:rPr>
                <w:sz w:val="20"/>
                <w:szCs w:val="20"/>
                <w:color w:val="auto"/>
              </w:rPr>
            </w:pPr>
            <w:r>
              <w:rPr>
                <w:rFonts w:ascii="Arial" w:cs="Arial" w:eastAsia="Arial" w:hAnsi="Arial"/>
                <w:sz w:val="14"/>
                <w:szCs w:val="14"/>
                <w:color w:val="auto"/>
              </w:rPr>
              <w:t>3/11/2020</w:t>
            </w:r>
          </w:p>
        </w:tc>
        <w:tc>
          <w:tcPr>
            <w:tcW w:w="2080" w:type="dxa"/>
            <w:vAlign w:val="bottom"/>
          </w:tcPr>
          <w:p>
            <w:pPr>
              <w:jc w:val="right"/>
              <w:ind w:right="293"/>
              <w:spacing w:after="0" w:line="189" w:lineRule="exact"/>
              <w:rPr>
                <w:sz w:val="20"/>
                <w:szCs w:val="20"/>
                <w:color w:val="auto"/>
              </w:rPr>
            </w:pPr>
            <w:r>
              <w:rPr>
                <w:rFonts w:ascii="Arial" w:cs="Arial" w:eastAsia="Arial" w:hAnsi="Arial"/>
                <w:sz w:val="13"/>
                <w:szCs w:val="13"/>
                <w:color w:val="auto"/>
              </w:rPr>
              <w:t>5,222</w:t>
            </w:r>
            <w:r>
              <w:rPr>
                <w:rFonts w:ascii="Arial" w:cs="Arial" w:eastAsia="Arial" w:hAnsi="Arial"/>
                <w:sz w:val="21"/>
                <w:szCs w:val="21"/>
                <w:color w:val="auto"/>
                <w:vertAlign w:val="superscript"/>
              </w:rPr>
              <w:t>7</w:t>
            </w:r>
          </w:p>
        </w:tc>
        <w:tc>
          <w:tcPr>
            <w:tcW w:w="2120" w:type="dxa"/>
            <w:vAlign w:val="bottom"/>
            <w:gridSpan w:val="2"/>
          </w:tcPr>
          <w:p>
            <w:pPr>
              <w:jc w:val="right"/>
              <w:ind w:right="288"/>
              <w:spacing w:after="0"/>
              <w:rPr>
                <w:sz w:val="20"/>
                <w:szCs w:val="20"/>
                <w:color w:val="auto"/>
              </w:rPr>
            </w:pPr>
            <w:r>
              <w:rPr>
                <w:rFonts w:ascii="Arial" w:cs="Arial" w:eastAsia="Arial" w:hAnsi="Arial"/>
                <w:sz w:val="14"/>
                <w:szCs w:val="14"/>
                <w:color w:val="auto"/>
              </w:rPr>
              <w:t>148,514</w:t>
            </w:r>
          </w:p>
        </w:tc>
        <w:tc>
          <w:tcPr>
            <w:tcW w:w="20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E5E6E6"/>
            </w:tcBorders>
          </w:tcPr>
          <w:p>
            <w:pPr>
              <w:spacing w:after="0"/>
              <w:rPr>
                <w:sz w:val="17"/>
                <w:szCs w:val="17"/>
                <w:color w:val="auto"/>
              </w:rPr>
            </w:pPr>
          </w:p>
        </w:tc>
        <w:tc>
          <w:tcPr>
            <w:tcW w:w="960" w:type="dxa"/>
            <w:vAlign w:val="bottom"/>
            <w:tcBorders>
              <w:bottom w:val="single" w:sz="8" w:color="E5E6E6"/>
            </w:tcBorders>
          </w:tcPr>
          <w:p>
            <w:pPr>
              <w:jc w:val="right"/>
              <w:spacing w:after="0"/>
              <w:rPr>
                <w:sz w:val="20"/>
                <w:szCs w:val="20"/>
                <w:color w:val="auto"/>
              </w:rPr>
            </w:pPr>
            <w:r>
              <w:rPr>
                <w:rFonts w:ascii="Arial" w:cs="Arial" w:eastAsia="Arial" w:hAnsi="Arial"/>
                <w:sz w:val="14"/>
                <w:szCs w:val="14"/>
                <w:color w:val="auto"/>
              </w:rPr>
              <w:t>9/1/2020</w:t>
            </w:r>
          </w:p>
        </w:tc>
        <w:tc>
          <w:tcPr>
            <w:tcW w:w="2080" w:type="dxa"/>
            <w:vAlign w:val="bottom"/>
            <w:tcBorders>
              <w:bottom w:val="single" w:sz="8" w:color="E5E6E6"/>
            </w:tcBorders>
          </w:tcPr>
          <w:p>
            <w:pPr>
              <w:jc w:val="right"/>
              <w:ind w:right="293"/>
              <w:spacing w:after="0" w:line="190" w:lineRule="exact"/>
              <w:rPr>
                <w:sz w:val="20"/>
                <w:szCs w:val="20"/>
                <w:color w:val="auto"/>
              </w:rPr>
            </w:pPr>
            <w:r>
              <w:rPr>
                <w:rFonts w:ascii="Arial" w:cs="Arial" w:eastAsia="Arial" w:hAnsi="Arial"/>
                <w:sz w:val="13"/>
                <w:szCs w:val="13"/>
                <w:color w:val="auto"/>
              </w:rPr>
              <w:t>3,227</w:t>
            </w:r>
            <w:r>
              <w:rPr>
                <w:rFonts w:ascii="Arial" w:cs="Arial" w:eastAsia="Arial" w:hAnsi="Arial"/>
                <w:sz w:val="21"/>
                <w:szCs w:val="21"/>
                <w:color w:val="auto"/>
                <w:vertAlign w:val="superscript"/>
              </w:rPr>
              <w:t>7</w:t>
            </w:r>
          </w:p>
        </w:tc>
        <w:tc>
          <w:tcPr>
            <w:tcW w:w="2120" w:type="dxa"/>
            <w:vAlign w:val="bottom"/>
            <w:tcBorders>
              <w:bottom w:val="single" w:sz="8" w:color="E5E6E6"/>
            </w:tcBorders>
            <w:gridSpan w:val="2"/>
          </w:tcPr>
          <w:p>
            <w:pPr>
              <w:jc w:val="right"/>
              <w:ind w:right="288"/>
              <w:spacing w:after="0"/>
              <w:rPr>
                <w:sz w:val="20"/>
                <w:szCs w:val="20"/>
                <w:color w:val="auto"/>
              </w:rPr>
            </w:pPr>
            <w:r>
              <w:rPr>
                <w:rFonts w:ascii="Arial" w:cs="Arial" w:eastAsia="Arial" w:hAnsi="Arial"/>
                <w:sz w:val="14"/>
                <w:szCs w:val="14"/>
                <w:color w:val="auto"/>
              </w:rPr>
              <w:t>91,776</w:t>
            </w:r>
          </w:p>
        </w:tc>
        <w:tc>
          <w:tcPr>
            <w:tcW w:w="2080" w:type="dxa"/>
            <w:vAlign w:val="bottom"/>
            <w:tcBorders>
              <w:bottom w:val="single" w:sz="8" w:color="E5E6E6"/>
            </w:tcBorders>
            <w:gridSpan w:val="2"/>
          </w:tcPr>
          <w:p>
            <w:pPr>
              <w:jc w:val="right"/>
              <w:ind w:right="248"/>
              <w:spacing w:after="0" w:line="190" w:lineRule="exact"/>
              <w:rPr>
                <w:sz w:val="20"/>
                <w:szCs w:val="20"/>
                <w:color w:val="auto"/>
              </w:rPr>
            </w:pPr>
            <w:r>
              <w:rPr>
                <w:rFonts w:ascii="Arial" w:cs="Arial" w:eastAsia="Arial" w:hAnsi="Arial"/>
                <w:sz w:val="13"/>
                <w:szCs w:val="13"/>
                <w:color w:val="auto"/>
              </w:rPr>
              <w:t>14,128</w:t>
            </w:r>
            <w:r>
              <w:rPr>
                <w:rFonts w:ascii="Arial" w:cs="Arial" w:eastAsia="Arial" w:hAnsi="Arial"/>
                <w:sz w:val="21"/>
                <w:szCs w:val="21"/>
                <w:color w:val="auto"/>
                <w:vertAlign w:val="superscript"/>
              </w:rPr>
              <w:t>6</w:t>
            </w:r>
          </w:p>
        </w:tc>
        <w:tc>
          <w:tcPr>
            <w:tcW w:w="2180" w:type="dxa"/>
            <w:vAlign w:val="bottom"/>
            <w:tcBorders>
              <w:bottom w:val="single" w:sz="8" w:color="E5E6E6"/>
            </w:tcBorders>
          </w:tcPr>
          <w:p>
            <w:pPr>
              <w:jc w:val="right"/>
              <w:ind w:right="288"/>
              <w:spacing w:after="0"/>
              <w:rPr>
                <w:sz w:val="20"/>
                <w:szCs w:val="20"/>
                <w:color w:val="auto"/>
              </w:rPr>
            </w:pPr>
            <w:r>
              <w:rPr>
                <w:rFonts w:ascii="Arial" w:cs="Arial" w:eastAsia="Arial" w:hAnsi="Arial"/>
                <w:sz w:val="14"/>
                <w:szCs w:val="14"/>
                <w:color w:val="auto"/>
              </w:rPr>
              <w:t>401,800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-2837180</wp:posOffset>
            </wp:positionV>
            <wp:extent cx="7132320" cy="3346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-2965450</wp:posOffset>
            </wp:positionV>
            <wp:extent cx="54089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147" w:lineRule="exact"/>
        <w:rPr>
          <w:sz w:val="20"/>
          <w:szCs w:val="20"/>
          <w:color w:val="auto"/>
        </w:rPr>
      </w:pPr>
    </w:p>
    <w:p>
      <w:pPr>
        <w:ind w:left="120" w:right="520" w:hanging="112"/>
        <w:spacing w:after="0"/>
        <w:tabs>
          <w:tab w:leader="none" w:pos="120" w:val="left"/>
        </w:tabs>
        <w:numPr>
          <w:ilvl w:val="0"/>
          <w:numId w:val="56"/>
        </w:numPr>
        <w:rPr>
          <w:rFonts w:ascii="Arial" w:cs="Arial" w:eastAsia="Arial" w:hAnsi="Arial"/>
          <w:sz w:val="22"/>
          <w:szCs w:val="22"/>
          <w:color w:val="auto"/>
          <w:vertAlign w:val="superscript"/>
        </w:rPr>
      </w:pPr>
      <w:r>
        <w:rPr>
          <w:rFonts w:ascii="Arial" w:cs="Arial" w:eastAsia="Arial" w:hAnsi="Arial"/>
          <w:sz w:val="13"/>
          <w:szCs w:val="13"/>
          <w:color w:val="auto"/>
        </w:rPr>
        <w:t>Computed by multiplying the number of units by the closing market price of one share of our Common Stock on December 31, 2020 as reported by the Nasdaq Capital Market.</w:t>
      </w:r>
    </w:p>
    <w:p>
      <w:pPr>
        <w:ind w:left="120" w:hanging="112"/>
        <w:spacing w:after="0" w:line="202" w:lineRule="auto"/>
        <w:tabs>
          <w:tab w:leader="none" w:pos="12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Represents PRSUs that are subject to the achievement of pre-established performance targets and the officer’s continued service through the vesting date. Any PRSUs that</w:t>
      </w:r>
    </w:p>
    <w:p>
      <w:pPr>
        <w:ind w:left="120"/>
        <w:spacing w:after="0" w:line="214" w:lineRule="auto"/>
        <w:rPr>
          <w:sz w:val="20"/>
          <w:szCs w:val="20"/>
          <w:color w:val="auto"/>
        </w:rPr>
      </w:pPr>
      <w:r>
        <w:rPr>
          <w:rFonts w:ascii="Arial" w:cs="Arial" w:eastAsia="Arial" w:hAnsi="Arial"/>
          <w:sz w:val="14"/>
          <w:szCs w:val="14"/>
          <w:color w:val="auto"/>
        </w:rPr>
        <w:t>vest will be converted to shares of our Common Stock on a one-for-one basis. PRSUs that do not vest will be forfeited.</w:t>
      </w:r>
    </w:p>
    <w:p>
      <w:pPr>
        <w:spacing w:after="0" w:line="19" w:lineRule="exact"/>
        <w:rPr>
          <w:sz w:val="20"/>
          <w:szCs w:val="20"/>
          <w:color w:val="auto"/>
        </w:rPr>
      </w:pPr>
    </w:p>
    <w:p>
      <w:pPr>
        <w:ind w:left="120" w:right="80" w:hanging="112"/>
        <w:spacing w:after="0" w:line="182" w:lineRule="auto"/>
        <w:tabs>
          <w:tab w:leader="none" w:pos="120" w:val="left"/>
        </w:tabs>
        <w:numPr>
          <w:ilvl w:val="0"/>
          <w:numId w:val="58"/>
        </w:numPr>
        <w:rPr>
          <w:rFonts w:ascii="Arial" w:cs="Arial" w:eastAsia="Arial" w:hAnsi="Arial"/>
          <w:sz w:val="22"/>
          <w:szCs w:val="22"/>
          <w:color w:val="auto"/>
          <w:vertAlign w:val="superscript"/>
        </w:rPr>
      </w:pPr>
      <w:r>
        <w:rPr>
          <w:rFonts w:ascii="Arial" w:cs="Arial" w:eastAsia="Arial" w:hAnsi="Arial"/>
          <w:sz w:val="13"/>
          <w:szCs w:val="13"/>
          <w:color w:val="auto"/>
        </w:rPr>
        <w:t>Includes the unvested portion of TRSUs with a vesting schedule of 25% per year on each of the first four anniversaries of the grant date (with the exception of the first vesting date which may have been advanced one quarter to comply with Section 409A of the Code).</w:t>
      </w:r>
    </w:p>
    <w:p>
      <w:pPr>
        <w:spacing w:after="0" w:line="19" w:lineRule="exact"/>
        <w:rPr>
          <w:sz w:val="20"/>
          <w:szCs w:val="20"/>
          <w:color w:val="auto"/>
        </w:rPr>
      </w:pPr>
    </w:p>
    <w:p>
      <w:pPr>
        <w:ind w:left="120" w:right="60" w:hanging="112"/>
        <w:spacing w:after="0" w:line="182" w:lineRule="auto"/>
        <w:tabs>
          <w:tab w:leader="none" w:pos="12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Includes a portion of the PRSUs relative to future performance periods which were unearned as of December 31, 2020. 50% of the PRSUs are earned based on our return on average assets performance and 50% are earned based on our return on tangible common equity performance. The number of PRSUs reported in this column assumes</w:t>
      </w:r>
    </w:p>
    <w:p>
      <w:pPr>
        <w:ind w:left="120"/>
        <w:spacing w:after="0" w:line="215" w:lineRule="auto"/>
        <w:rPr>
          <w:sz w:val="20"/>
          <w:szCs w:val="20"/>
          <w:color w:val="auto"/>
        </w:rPr>
      </w:pPr>
      <w:r>
        <w:rPr>
          <w:rFonts w:ascii="Arial" w:cs="Arial" w:eastAsia="Arial" w:hAnsi="Arial"/>
          <w:sz w:val="14"/>
          <w:szCs w:val="14"/>
          <w:color w:val="auto"/>
        </w:rPr>
        <w:t>achievement at the threshold level (0.5x the number of units granted) for the performance criteria.</w:t>
      </w:r>
    </w:p>
    <w:p>
      <w:pPr>
        <w:spacing w:after="0" w:line="19" w:lineRule="exact"/>
        <w:rPr>
          <w:sz w:val="20"/>
          <w:szCs w:val="20"/>
          <w:color w:val="auto"/>
        </w:rPr>
      </w:pPr>
    </w:p>
    <w:p>
      <w:pPr>
        <w:ind w:left="120" w:right="80" w:hanging="112"/>
        <w:spacing w:after="0" w:line="195" w:lineRule="auto"/>
        <w:tabs>
          <w:tab w:leader="none" w:pos="12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Includes the unvested portion of TRSUs with a vesting schedule of 25% per year on each of the first four anniversaries of the grant date (with the exception of the first vesting date which may have been advanced one quarter to comply with Section 409A of the Code) as well as a portion of the PRSUs relative to the 2020 performance period which were earned as of December 31, 2020 and vested on February 15, 2021. These PRSUs are earned based on our return on average assets for the applicable performance</w:t>
      </w:r>
    </w:p>
    <w:p>
      <w:pPr>
        <w:ind w:left="120" w:right="120"/>
        <w:spacing w:after="0" w:line="227" w:lineRule="auto"/>
        <w:rPr>
          <w:sz w:val="20"/>
          <w:szCs w:val="20"/>
          <w:color w:val="auto"/>
        </w:rPr>
      </w:pPr>
      <w:r>
        <w:rPr>
          <w:rFonts w:ascii="Arial" w:cs="Arial" w:eastAsia="Arial" w:hAnsi="Arial"/>
          <w:sz w:val="14"/>
          <w:szCs w:val="14"/>
          <w:color w:val="auto"/>
        </w:rPr>
        <w:t>period relative to the designated peer group of companies as adjusted by the total shareholder return modifier. Relative to the 2020 performance period, PRSUs were earned (and are included) at 1.64x the number of units granted.</w:t>
      </w:r>
    </w:p>
    <w:p>
      <w:pPr>
        <w:spacing w:after="0" w:line="19" w:lineRule="exact"/>
        <w:rPr>
          <w:sz w:val="20"/>
          <w:szCs w:val="20"/>
          <w:color w:val="auto"/>
        </w:rPr>
      </w:pPr>
    </w:p>
    <w:p>
      <w:pPr>
        <w:ind w:left="120" w:right="140" w:hanging="112"/>
        <w:spacing w:after="0" w:line="182" w:lineRule="auto"/>
        <w:tabs>
          <w:tab w:leader="none" w:pos="120" w:val="left"/>
        </w:tabs>
        <w:numPr>
          <w:ilvl w:val="0"/>
          <w:numId w:val="61"/>
        </w:numPr>
        <w:rPr>
          <w:rFonts w:ascii="Arial" w:cs="Arial" w:eastAsia="Arial" w:hAnsi="Arial"/>
          <w:sz w:val="23"/>
          <w:szCs w:val="23"/>
          <w:color w:val="auto"/>
          <w:vertAlign w:val="superscript"/>
        </w:rPr>
      </w:pPr>
      <w:r>
        <w:rPr>
          <w:rFonts w:ascii="Arial" w:cs="Arial" w:eastAsia="Arial" w:hAnsi="Arial"/>
          <w:sz w:val="14"/>
          <w:szCs w:val="14"/>
          <w:color w:val="auto"/>
        </w:rPr>
        <w:t>Includes a portion of the PRSUs relative to future performance periods which were unearned as of December 31, 2020. These PRSUs are earned based on our return on average assets for the applicable performance period relative to the designated peer group of companies as adjusted by the total shareholder return modifier. The number of</w:t>
      </w:r>
    </w:p>
    <w:p>
      <w:pPr>
        <w:ind w:left="120"/>
        <w:spacing w:after="0" w:line="215" w:lineRule="auto"/>
        <w:rPr>
          <w:sz w:val="20"/>
          <w:szCs w:val="20"/>
          <w:color w:val="auto"/>
        </w:rPr>
      </w:pPr>
      <w:r>
        <w:rPr>
          <w:rFonts w:ascii="Arial" w:cs="Arial" w:eastAsia="Arial" w:hAnsi="Arial"/>
          <w:sz w:val="14"/>
          <w:szCs w:val="14"/>
          <w:color w:val="auto"/>
        </w:rPr>
        <w:t>PRSUs reported in this column assumes achievement at the maximum level (1.875x the number of units granted) for the performance criteria.</w:t>
      </w:r>
    </w:p>
    <w:p>
      <w:pPr>
        <w:spacing w:after="0" w:line="19" w:lineRule="exact"/>
        <w:rPr>
          <w:sz w:val="20"/>
          <w:szCs w:val="20"/>
          <w:color w:val="auto"/>
        </w:rPr>
      </w:pPr>
    </w:p>
    <w:p>
      <w:pPr>
        <w:ind w:left="120" w:right="460" w:hanging="112"/>
        <w:spacing w:after="0" w:line="183" w:lineRule="auto"/>
        <w:tabs>
          <w:tab w:leader="none" w:pos="12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Includes the unvested portion of a TRSUs with a vesting schedule of 25% per year on each of the first four anniversaries of the grant date (with the exception of the first vesting date which may have been advanced one quarter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p>
      <w:pPr>
        <w:spacing w:after="0"/>
        <w:rPr>
          <w:sz w:val="20"/>
          <w:szCs w:val="20"/>
          <w:color w:val="auto"/>
        </w:rPr>
      </w:pPr>
      <w:r>
        <w:rPr>
          <w:rFonts w:ascii="Arial" w:cs="Arial" w:eastAsia="Arial" w:hAnsi="Arial"/>
          <w:sz w:val="27"/>
          <w:szCs w:val="27"/>
          <w:b w:val="1"/>
          <w:bCs w:val="1"/>
          <w:color w:val="1077A9"/>
        </w:rPr>
        <w:t>Stock Vested</w:t>
      </w:r>
    </w:p>
    <w:p>
      <w:pPr>
        <w:spacing w:after="0" w:line="23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following table sets forth the value realized upon the vesting and settlement of restricted stock units for the NEOs during 2020. Columns have been omitted from this table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91440</wp:posOffset>
            </wp:positionV>
            <wp:extent cx="17145" cy="10629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145" cy="10629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40" w:type="dxa"/>
            <w:vAlign w:val="bottom"/>
          </w:tcPr>
          <w:p>
            <w:pPr>
              <w:spacing w:after="0"/>
              <w:rPr>
                <w:sz w:val="21"/>
                <w:szCs w:val="21"/>
                <w:color w:val="auto"/>
              </w:rPr>
            </w:pPr>
          </w:p>
        </w:tc>
        <w:tc>
          <w:tcPr>
            <w:tcW w:w="4480" w:type="dxa"/>
            <w:vAlign w:val="bottom"/>
            <w:tcBorders>
              <w:bottom w:val="single" w:sz="8" w:color="E5E6E6"/>
            </w:tcBorders>
            <w:gridSpan w:val="2"/>
            <w:shd w:val="clear" w:color="auto" w:fill="E5E6E6"/>
          </w:tcPr>
          <w:p>
            <w:pPr>
              <w:jc w:val="right"/>
              <w:ind w:right="1728"/>
              <w:spacing w:after="0"/>
              <w:rPr>
                <w:sz w:val="20"/>
                <w:szCs w:val="20"/>
                <w:color w:val="auto"/>
              </w:rPr>
            </w:pPr>
            <w:r>
              <w:rPr>
                <w:rFonts w:ascii="Arial" w:cs="Arial" w:eastAsia="Arial" w:hAnsi="Arial"/>
                <w:sz w:val="14"/>
                <w:szCs w:val="14"/>
                <w:color w:val="auto"/>
              </w:rPr>
              <w:t>Stock Awards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740" w:type="dxa"/>
            <w:vAlign w:val="bottom"/>
            <w:vMerge w:val="restart"/>
            <w:shd w:val="clear" w:color="auto" w:fill="1077A9"/>
          </w:tcPr>
          <w:p>
            <w:pPr>
              <w:ind w:left="100"/>
              <w:spacing w:after="0"/>
              <w:rPr>
                <w:sz w:val="20"/>
                <w:szCs w:val="20"/>
                <w:color w:val="auto"/>
              </w:rPr>
            </w:pPr>
            <w:r>
              <w:rPr>
                <w:rFonts w:ascii="Arial" w:cs="Arial" w:eastAsia="Arial" w:hAnsi="Arial"/>
                <w:sz w:val="14"/>
                <w:szCs w:val="14"/>
                <w:color w:val="FFFFFF"/>
              </w:rPr>
              <w:t>Name</w:t>
            </w:r>
          </w:p>
        </w:tc>
        <w:tc>
          <w:tcPr>
            <w:tcW w:w="2280" w:type="dxa"/>
            <w:vAlign w:val="bottom"/>
            <w:shd w:val="clear" w:color="auto" w:fill="1077A9"/>
          </w:tcPr>
          <w:p>
            <w:pPr>
              <w:jc w:val="right"/>
              <w:ind w:right="208"/>
              <w:spacing w:after="0"/>
              <w:rPr>
                <w:sz w:val="20"/>
                <w:szCs w:val="20"/>
                <w:color w:val="auto"/>
              </w:rPr>
            </w:pPr>
            <w:r>
              <w:rPr>
                <w:rFonts w:ascii="Arial" w:cs="Arial" w:eastAsia="Arial" w:hAnsi="Arial"/>
                <w:sz w:val="14"/>
                <w:szCs w:val="14"/>
                <w:color w:val="FFFFFF"/>
              </w:rPr>
              <w:t>Number of Shares Acquired</w:t>
            </w:r>
          </w:p>
        </w:tc>
        <w:tc>
          <w:tcPr>
            <w:tcW w:w="2200" w:type="dxa"/>
            <w:vAlign w:val="bottom"/>
            <w:shd w:val="clear" w:color="auto" w:fill="1077A9"/>
          </w:tcPr>
          <w:p>
            <w:pPr>
              <w:jc w:val="right"/>
              <w:ind w:right="228"/>
              <w:spacing w:after="0"/>
              <w:rPr>
                <w:sz w:val="20"/>
                <w:szCs w:val="20"/>
                <w:color w:val="auto"/>
              </w:rPr>
            </w:pPr>
            <w:r>
              <w:rPr>
                <w:rFonts w:ascii="Arial" w:cs="Arial" w:eastAsia="Arial" w:hAnsi="Arial"/>
                <w:sz w:val="14"/>
                <w:szCs w:val="14"/>
                <w:color w:val="FFFFFF"/>
              </w:rPr>
              <w:t>Value Realized on Vesting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740" w:type="dxa"/>
            <w:vAlign w:val="bottom"/>
            <w:vMerge w:val="continue"/>
            <w:shd w:val="clear" w:color="auto" w:fill="1077A9"/>
          </w:tcPr>
          <w:p>
            <w:pPr>
              <w:spacing w:after="0"/>
              <w:rPr>
                <w:sz w:val="9"/>
                <w:szCs w:val="9"/>
                <w:color w:val="auto"/>
              </w:rPr>
            </w:pPr>
          </w:p>
        </w:tc>
        <w:tc>
          <w:tcPr>
            <w:tcW w:w="2280" w:type="dxa"/>
            <w:vAlign w:val="bottom"/>
            <w:vMerge w:val="restart"/>
            <w:shd w:val="clear" w:color="auto" w:fill="1077A9"/>
          </w:tcPr>
          <w:p>
            <w:pPr>
              <w:jc w:val="right"/>
              <w:ind w:right="628"/>
              <w:spacing w:after="0"/>
              <w:rPr>
                <w:sz w:val="20"/>
                <w:szCs w:val="20"/>
                <w:color w:val="auto"/>
              </w:rPr>
            </w:pPr>
            <w:r>
              <w:rPr>
                <w:rFonts w:ascii="Arial" w:cs="Arial" w:eastAsia="Arial" w:hAnsi="Arial"/>
                <w:sz w:val="14"/>
                <w:szCs w:val="14"/>
                <w:color w:val="FFFFFF"/>
              </w:rPr>
              <w:t>on Vesting (#)</w:t>
            </w:r>
          </w:p>
        </w:tc>
        <w:tc>
          <w:tcPr>
            <w:tcW w:w="2200" w:type="dxa"/>
            <w:vAlign w:val="bottom"/>
            <w:vMerge w:val="restart"/>
            <w:shd w:val="clear" w:color="auto" w:fill="1077A9"/>
          </w:tcPr>
          <w:p>
            <w:pPr>
              <w:jc w:val="right"/>
              <w:ind w:right="908"/>
              <w:spacing w:after="0" w:line="230" w:lineRule="exact"/>
              <w:rPr>
                <w:sz w:val="20"/>
                <w:szCs w:val="20"/>
                <w:color w:val="auto"/>
              </w:rPr>
            </w:pPr>
            <w:r>
              <w:rPr>
                <w:rFonts w:ascii="Arial" w:cs="Arial" w:eastAsia="Arial" w:hAnsi="Arial"/>
                <w:sz w:val="14"/>
                <w:szCs w:val="14"/>
                <w:color w:val="FFFFFF"/>
              </w:rPr>
              <w:t>($)</w:t>
            </w:r>
            <w:r>
              <w:rPr>
                <w:rFonts w:ascii="Arial" w:cs="Arial" w:eastAsia="Arial" w:hAnsi="Arial"/>
                <w:sz w:val="23"/>
                <w:szCs w:val="23"/>
                <w:color w:val="FFFFFF"/>
                <w:vertAlign w:val="superscript"/>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740" w:type="dxa"/>
            <w:vAlign w:val="bottom"/>
            <w:shd w:val="clear" w:color="auto" w:fill="1077A9"/>
          </w:tcPr>
          <w:p>
            <w:pPr>
              <w:spacing w:after="0"/>
              <w:rPr>
                <w:sz w:val="10"/>
                <w:szCs w:val="10"/>
                <w:color w:val="auto"/>
              </w:rPr>
            </w:pPr>
          </w:p>
        </w:tc>
        <w:tc>
          <w:tcPr>
            <w:tcW w:w="2280" w:type="dxa"/>
            <w:vAlign w:val="bottom"/>
            <w:vMerge w:val="continue"/>
            <w:shd w:val="clear" w:color="auto" w:fill="1077A9"/>
          </w:tcPr>
          <w:p>
            <w:pPr>
              <w:spacing w:after="0"/>
              <w:rPr>
                <w:sz w:val="10"/>
                <w:szCs w:val="10"/>
                <w:color w:val="auto"/>
              </w:rPr>
            </w:pPr>
          </w:p>
        </w:tc>
        <w:tc>
          <w:tcPr>
            <w:tcW w:w="2200" w:type="dxa"/>
            <w:vAlign w:val="bottom"/>
            <w:vMerge w:val="continue"/>
            <w:shd w:val="clear" w:color="auto" w:fill="1077A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2280" w:type="dxa"/>
            <w:vAlign w:val="bottom"/>
          </w:tcPr>
          <w:p>
            <w:pPr>
              <w:jc w:val="right"/>
              <w:ind w:right="188"/>
              <w:spacing w:after="0"/>
              <w:rPr>
                <w:sz w:val="20"/>
                <w:szCs w:val="20"/>
                <w:color w:val="auto"/>
              </w:rPr>
            </w:pPr>
            <w:r>
              <w:rPr>
                <w:rFonts w:ascii="Arial" w:cs="Arial" w:eastAsia="Arial" w:hAnsi="Arial"/>
                <w:sz w:val="14"/>
                <w:szCs w:val="14"/>
                <w:color w:val="auto"/>
              </w:rPr>
              <w:t>27,153</w:t>
            </w:r>
          </w:p>
        </w:tc>
        <w:tc>
          <w:tcPr>
            <w:tcW w:w="2200" w:type="dxa"/>
            <w:vAlign w:val="bottom"/>
          </w:tcPr>
          <w:p>
            <w:pPr>
              <w:jc w:val="right"/>
              <w:ind w:right="128"/>
              <w:spacing w:after="0"/>
              <w:rPr>
                <w:sz w:val="20"/>
                <w:szCs w:val="20"/>
                <w:color w:val="auto"/>
              </w:rPr>
            </w:pPr>
            <w:r>
              <w:rPr>
                <w:rFonts w:ascii="Arial" w:cs="Arial" w:eastAsia="Arial" w:hAnsi="Arial"/>
                <w:sz w:val="14"/>
                <w:szCs w:val="14"/>
                <w:color w:val="auto"/>
              </w:rPr>
              <w:t>$ 730,704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2280" w:type="dxa"/>
            <w:vAlign w:val="bottom"/>
            <w:shd w:val="clear" w:color="auto" w:fill="E5E6E6"/>
          </w:tcPr>
          <w:p>
            <w:pPr>
              <w:jc w:val="right"/>
              <w:ind w:right="188"/>
              <w:spacing w:after="0"/>
              <w:rPr>
                <w:sz w:val="20"/>
                <w:szCs w:val="20"/>
                <w:color w:val="auto"/>
              </w:rPr>
            </w:pPr>
            <w:r>
              <w:rPr>
                <w:rFonts w:ascii="Arial" w:cs="Arial" w:eastAsia="Arial" w:hAnsi="Arial"/>
                <w:sz w:val="14"/>
                <w:szCs w:val="14"/>
                <w:color w:val="auto"/>
              </w:rPr>
              <w:t>12,526</w:t>
            </w:r>
          </w:p>
        </w:tc>
        <w:tc>
          <w:tcPr>
            <w:tcW w:w="2200" w:type="dxa"/>
            <w:vAlign w:val="bottom"/>
            <w:shd w:val="clear" w:color="auto" w:fill="E5E6E6"/>
          </w:tcPr>
          <w:p>
            <w:pPr>
              <w:jc w:val="right"/>
              <w:ind w:right="128"/>
              <w:spacing w:after="0"/>
              <w:rPr>
                <w:sz w:val="20"/>
                <w:szCs w:val="20"/>
                <w:color w:val="auto"/>
              </w:rPr>
            </w:pPr>
            <w:r>
              <w:rPr>
                <w:rFonts w:ascii="Arial" w:cs="Arial" w:eastAsia="Arial" w:hAnsi="Arial"/>
                <w:sz w:val="14"/>
                <w:szCs w:val="14"/>
                <w:color w:val="auto"/>
              </w:rPr>
              <w:t>282,849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2280" w:type="dxa"/>
            <w:vAlign w:val="bottom"/>
          </w:tcPr>
          <w:p>
            <w:pPr>
              <w:jc w:val="right"/>
              <w:ind w:right="188"/>
              <w:spacing w:after="0"/>
              <w:rPr>
                <w:sz w:val="20"/>
                <w:szCs w:val="20"/>
                <w:color w:val="auto"/>
              </w:rPr>
            </w:pPr>
            <w:r>
              <w:rPr>
                <w:rFonts w:ascii="Arial" w:cs="Arial" w:eastAsia="Arial" w:hAnsi="Arial"/>
                <w:sz w:val="14"/>
                <w:szCs w:val="14"/>
                <w:color w:val="auto"/>
              </w:rPr>
              <w:t>4,976</w:t>
            </w:r>
          </w:p>
        </w:tc>
        <w:tc>
          <w:tcPr>
            <w:tcW w:w="2200" w:type="dxa"/>
            <w:vAlign w:val="bottom"/>
          </w:tcPr>
          <w:p>
            <w:pPr>
              <w:jc w:val="right"/>
              <w:ind w:right="128"/>
              <w:spacing w:after="0"/>
              <w:rPr>
                <w:sz w:val="20"/>
                <w:szCs w:val="20"/>
                <w:color w:val="auto"/>
              </w:rPr>
            </w:pPr>
            <w:r>
              <w:rPr>
                <w:rFonts w:ascii="Arial" w:cs="Arial" w:eastAsia="Arial" w:hAnsi="Arial"/>
                <w:sz w:val="14"/>
                <w:szCs w:val="14"/>
                <w:color w:val="auto"/>
              </w:rPr>
              <w:t>122,310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2280" w:type="dxa"/>
            <w:vAlign w:val="bottom"/>
            <w:shd w:val="clear" w:color="auto" w:fill="E5E6E6"/>
          </w:tcPr>
          <w:p>
            <w:pPr>
              <w:jc w:val="right"/>
              <w:ind w:right="188"/>
              <w:spacing w:after="0"/>
              <w:rPr>
                <w:sz w:val="20"/>
                <w:szCs w:val="20"/>
                <w:color w:val="auto"/>
              </w:rPr>
            </w:pPr>
            <w:r>
              <w:rPr>
                <w:rFonts w:ascii="Arial" w:cs="Arial" w:eastAsia="Arial" w:hAnsi="Arial"/>
                <w:sz w:val="14"/>
                <w:szCs w:val="14"/>
                <w:color w:val="auto"/>
              </w:rPr>
              <w:t>6,809</w:t>
            </w:r>
          </w:p>
        </w:tc>
        <w:tc>
          <w:tcPr>
            <w:tcW w:w="2200" w:type="dxa"/>
            <w:vAlign w:val="bottom"/>
            <w:shd w:val="clear" w:color="auto" w:fill="E5E6E6"/>
          </w:tcPr>
          <w:p>
            <w:pPr>
              <w:jc w:val="right"/>
              <w:ind w:right="128"/>
              <w:spacing w:after="0"/>
              <w:rPr>
                <w:sz w:val="20"/>
                <w:szCs w:val="20"/>
                <w:color w:val="auto"/>
              </w:rPr>
            </w:pPr>
            <w:r>
              <w:rPr>
                <w:rFonts w:ascii="Arial" w:cs="Arial" w:eastAsia="Arial" w:hAnsi="Arial"/>
                <w:sz w:val="14"/>
                <w:szCs w:val="14"/>
                <w:color w:val="auto"/>
              </w:rPr>
              <w:t>166,661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Borders>
              <w:bottom w:val="single" w:sz="8" w:color="E5E6E6"/>
            </w:tcBorders>
          </w:tcPr>
          <w:p>
            <w:pPr>
              <w:ind w:left="100"/>
              <w:spacing w:after="0"/>
              <w:rPr>
                <w:sz w:val="20"/>
                <w:szCs w:val="20"/>
                <w:color w:val="auto"/>
              </w:rPr>
            </w:pPr>
            <w:r>
              <w:rPr>
                <w:rFonts w:ascii="Arial" w:cs="Arial" w:eastAsia="Arial" w:hAnsi="Arial"/>
                <w:sz w:val="14"/>
                <w:szCs w:val="14"/>
                <w:color w:val="auto"/>
              </w:rPr>
              <w:t>Melinda Davis Lux</w:t>
            </w:r>
          </w:p>
        </w:tc>
        <w:tc>
          <w:tcPr>
            <w:tcW w:w="2280" w:type="dxa"/>
            <w:vAlign w:val="bottom"/>
            <w:tcBorders>
              <w:bottom w:val="single" w:sz="8" w:color="E5E6E6"/>
            </w:tcBorders>
          </w:tcPr>
          <w:p>
            <w:pPr>
              <w:jc w:val="right"/>
              <w:ind w:right="188"/>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E5E6E6"/>
            </w:tcBorders>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5E6E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-890905</wp:posOffset>
            </wp:positionV>
            <wp:extent cx="17145" cy="274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145" cy="27432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-890905</wp:posOffset>
            </wp:positionV>
            <wp:extent cx="17145" cy="2743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145" cy="274320"/>
                    </a:xfrm>
                    <a:prstGeom prst="rect">
                      <a:avLst/>
                    </a:prstGeom>
                    <a:noFill/>
                  </pic:spPr>
                </pic:pic>
              </a:graphicData>
            </a:graphic>
          </wp:anchor>
        </w:drawing>
      </w:r>
    </w:p>
    <w:p>
      <w:pPr>
        <w:spacing w:after="0" w:line="30" w:lineRule="exact"/>
        <w:rPr>
          <w:sz w:val="20"/>
          <w:szCs w:val="20"/>
          <w:color w:val="auto"/>
        </w:rPr>
      </w:pPr>
    </w:p>
    <w:p>
      <w:pPr>
        <w:ind w:left="120" w:hanging="112"/>
        <w:spacing w:after="0"/>
        <w:tabs>
          <w:tab w:leader="none" w:pos="12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Represents the value realized by multiplying the number of restricted stock unit awards vesting by the closing price of United’s common stock on the date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Equity Compensation Plan Information</w:t>
      </w:r>
    </w:p>
    <w:p>
      <w:pPr>
        <w:spacing w:after="0" w:line="23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following table provides information about stock options outstanding as of December 31, 2020 and stock options, restricted stock and other equity awards available to be granted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91440</wp:posOffset>
            </wp:positionV>
            <wp:extent cx="17145" cy="6858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91440</wp:posOffset>
            </wp:positionV>
            <wp:extent cx="17145" cy="685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91440</wp:posOffset>
            </wp:positionV>
            <wp:extent cx="17145" cy="6858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91440</wp:posOffset>
            </wp:positionV>
            <wp:extent cx="17145" cy="6858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145" cy="68580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80" w:type="dxa"/>
            <w:vAlign w:val="bottom"/>
          </w:tcPr>
          <w:p>
            <w:pPr>
              <w:spacing w:after="0"/>
              <w:rPr>
                <w:sz w:val="19"/>
                <w:szCs w:val="19"/>
                <w:color w:val="auto"/>
              </w:rPr>
            </w:pPr>
          </w:p>
        </w:tc>
        <w:tc>
          <w:tcPr>
            <w:tcW w:w="1140" w:type="dxa"/>
            <w:vAlign w:val="bottom"/>
            <w:shd w:val="clear" w:color="auto" w:fill="1077A9"/>
          </w:tcPr>
          <w:p>
            <w:pPr>
              <w:spacing w:after="0"/>
              <w:rPr>
                <w:sz w:val="19"/>
                <w:szCs w:val="19"/>
                <w:color w:val="auto"/>
              </w:rPr>
            </w:pPr>
          </w:p>
        </w:tc>
        <w:tc>
          <w:tcPr>
            <w:tcW w:w="1140" w:type="dxa"/>
            <w:vAlign w:val="bottom"/>
            <w:shd w:val="clear" w:color="auto" w:fill="1077A9"/>
          </w:tcPr>
          <w:p>
            <w:pPr>
              <w:spacing w:after="0"/>
              <w:rPr>
                <w:sz w:val="19"/>
                <w:szCs w:val="19"/>
                <w:color w:val="auto"/>
              </w:rPr>
            </w:pPr>
          </w:p>
        </w:tc>
        <w:tc>
          <w:tcPr>
            <w:tcW w:w="1520" w:type="dxa"/>
            <w:vAlign w:val="bottom"/>
            <w:shd w:val="clear" w:color="auto" w:fill="1077A9"/>
          </w:tcPr>
          <w:p>
            <w:pPr>
              <w:jc w:val="center"/>
              <w:ind w:right="28"/>
              <w:spacing w:after="0"/>
              <w:rPr>
                <w:sz w:val="20"/>
                <w:szCs w:val="20"/>
                <w:color w:val="auto"/>
              </w:rPr>
            </w:pPr>
            <w:r>
              <w:rPr>
                <w:rFonts w:ascii="Arial" w:cs="Arial" w:eastAsia="Arial" w:hAnsi="Arial"/>
                <w:sz w:val="14"/>
                <w:szCs w:val="14"/>
                <w:color w:val="FFFFFF"/>
              </w:rPr>
              <w:t>Weighted-Average</w:t>
            </w:r>
          </w:p>
        </w:tc>
        <w:tc>
          <w:tcPr>
            <w:tcW w:w="2140" w:type="dxa"/>
            <w:vAlign w:val="bottom"/>
            <w:gridSpan w:val="2"/>
            <w:vMerge w:val="restart"/>
            <w:shd w:val="clear" w:color="auto" w:fill="1077A9"/>
          </w:tcPr>
          <w:p>
            <w:pPr>
              <w:jc w:val="center"/>
              <w:ind w:right="80"/>
              <w:spacing w:after="0"/>
              <w:rPr>
                <w:sz w:val="20"/>
                <w:szCs w:val="20"/>
                <w:color w:val="auto"/>
              </w:rPr>
            </w:pPr>
            <w:r>
              <w:rPr>
                <w:rFonts w:ascii="Arial" w:cs="Arial" w:eastAsia="Arial" w:hAnsi="Arial"/>
                <w:sz w:val="14"/>
                <w:szCs w:val="14"/>
                <w:color w:val="FFFFFF"/>
              </w:rPr>
              <w:t>Number of Securities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2280" w:type="dxa"/>
            <w:vAlign w:val="bottom"/>
            <w:gridSpan w:val="2"/>
            <w:vMerge w:val="restart"/>
            <w:shd w:val="clear" w:color="auto" w:fill="1077A9"/>
          </w:tcPr>
          <w:p>
            <w:pPr>
              <w:jc w:val="center"/>
              <w:spacing w:after="0"/>
              <w:rPr>
                <w:sz w:val="20"/>
                <w:szCs w:val="20"/>
                <w:color w:val="auto"/>
              </w:rPr>
            </w:pPr>
            <w:r>
              <w:rPr>
                <w:rFonts w:ascii="Arial" w:cs="Arial" w:eastAsia="Arial" w:hAnsi="Arial"/>
                <w:sz w:val="14"/>
                <w:szCs w:val="14"/>
                <w:color w:val="FFFFFF"/>
              </w:rPr>
              <w:t>Number of Securities to</w:t>
            </w:r>
          </w:p>
        </w:tc>
        <w:tc>
          <w:tcPr>
            <w:tcW w:w="1520" w:type="dxa"/>
            <w:vAlign w:val="bottom"/>
            <w:vMerge w:val="restart"/>
            <w:shd w:val="clear" w:color="auto" w:fill="1077A9"/>
          </w:tcPr>
          <w:p>
            <w:pPr>
              <w:jc w:val="center"/>
              <w:ind w:right="8"/>
              <w:spacing w:after="0"/>
              <w:rPr>
                <w:sz w:val="20"/>
                <w:szCs w:val="20"/>
                <w:color w:val="auto"/>
              </w:rPr>
            </w:pPr>
            <w:r>
              <w:rPr>
                <w:rFonts w:ascii="Arial" w:cs="Arial" w:eastAsia="Arial" w:hAnsi="Arial"/>
                <w:sz w:val="14"/>
                <w:szCs w:val="14"/>
                <w:color w:val="FFFFFF"/>
              </w:rPr>
              <w:t>Exercise</w:t>
            </w:r>
          </w:p>
        </w:tc>
        <w:tc>
          <w:tcPr>
            <w:tcW w:w="2140" w:type="dxa"/>
            <w:vAlign w:val="bottom"/>
            <w:gridSpan w:val="2"/>
            <w:vMerge w:val="continue"/>
            <w:shd w:val="clear" w:color="auto" w:fill="1077A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2280" w:type="dxa"/>
            <w:vAlign w:val="bottom"/>
            <w:gridSpan w:val="2"/>
            <w:vMerge w:val="continue"/>
            <w:shd w:val="clear" w:color="auto" w:fill="1077A9"/>
          </w:tcPr>
          <w:p>
            <w:pPr>
              <w:spacing w:after="0"/>
              <w:rPr>
                <w:sz w:val="7"/>
                <w:szCs w:val="7"/>
                <w:color w:val="auto"/>
              </w:rPr>
            </w:pPr>
          </w:p>
        </w:tc>
        <w:tc>
          <w:tcPr>
            <w:tcW w:w="1520" w:type="dxa"/>
            <w:vAlign w:val="bottom"/>
            <w:vMerge w:val="continue"/>
            <w:shd w:val="clear" w:color="auto" w:fill="1077A9"/>
          </w:tcPr>
          <w:p>
            <w:pPr>
              <w:spacing w:after="0"/>
              <w:rPr>
                <w:sz w:val="7"/>
                <w:szCs w:val="7"/>
                <w:color w:val="auto"/>
              </w:rPr>
            </w:pPr>
          </w:p>
        </w:tc>
        <w:tc>
          <w:tcPr>
            <w:tcW w:w="2140" w:type="dxa"/>
            <w:vAlign w:val="bottom"/>
            <w:gridSpan w:val="2"/>
            <w:vMerge w:val="restart"/>
            <w:shd w:val="clear" w:color="auto" w:fill="1077A9"/>
          </w:tcPr>
          <w:p>
            <w:pPr>
              <w:jc w:val="center"/>
              <w:ind w:right="80"/>
              <w:spacing w:after="0"/>
              <w:rPr>
                <w:sz w:val="20"/>
                <w:szCs w:val="20"/>
                <w:color w:val="auto"/>
              </w:rPr>
            </w:pPr>
            <w:r>
              <w:rPr>
                <w:rFonts w:ascii="Arial" w:cs="Arial" w:eastAsia="Arial" w:hAnsi="Arial"/>
                <w:sz w:val="14"/>
                <w:szCs w:val="14"/>
                <w:color w:val="FFFFFF"/>
              </w:rPr>
              <w:t>Available for Future Issuance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2280" w:type="dxa"/>
            <w:vAlign w:val="bottom"/>
            <w:gridSpan w:val="2"/>
            <w:vMerge w:val="restart"/>
            <w:shd w:val="clear" w:color="auto" w:fill="1077A9"/>
          </w:tcPr>
          <w:p>
            <w:pPr>
              <w:jc w:val="center"/>
              <w:spacing w:after="0"/>
              <w:rPr>
                <w:sz w:val="20"/>
                <w:szCs w:val="20"/>
                <w:color w:val="auto"/>
              </w:rPr>
            </w:pPr>
            <w:r>
              <w:rPr>
                <w:rFonts w:ascii="Arial" w:cs="Arial" w:eastAsia="Arial" w:hAnsi="Arial"/>
                <w:sz w:val="14"/>
                <w:szCs w:val="14"/>
                <w:color w:val="FFFFFF"/>
              </w:rPr>
              <w:t>be Issued upon Exercise</w:t>
            </w:r>
          </w:p>
        </w:tc>
        <w:tc>
          <w:tcPr>
            <w:tcW w:w="1520" w:type="dxa"/>
            <w:vAlign w:val="bottom"/>
            <w:vMerge w:val="restart"/>
            <w:shd w:val="clear" w:color="auto" w:fill="1077A9"/>
          </w:tcPr>
          <w:p>
            <w:pPr>
              <w:jc w:val="center"/>
              <w:ind w:right="28"/>
              <w:spacing w:after="0"/>
              <w:rPr>
                <w:sz w:val="20"/>
                <w:szCs w:val="20"/>
                <w:color w:val="auto"/>
              </w:rPr>
            </w:pPr>
            <w:r>
              <w:rPr>
                <w:rFonts w:ascii="Arial" w:cs="Arial" w:eastAsia="Arial" w:hAnsi="Arial"/>
                <w:sz w:val="14"/>
                <w:szCs w:val="14"/>
                <w:color w:val="FFFFFF"/>
              </w:rPr>
              <w:t>Price of Outstanding</w:t>
            </w:r>
          </w:p>
        </w:tc>
        <w:tc>
          <w:tcPr>
            <w:tcW w:w="2140" w:type="dxa"/>
            <w:vAlign w:val="bottom"/>
            <w:gridSpan w:val="2"/>
            <w:vMerge w:val="continue"/>
            <w:shd w:val="clear" w:color="auto" w:fill="1077A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2280" w:type="dxa"/>
            <w:vAlign w:val="bottom"/>
            <w:gridSpan w:val="2"/>
            <w:vMerge w:val="continue"/>
            <w:shd w:val="clear" w:color="auto" w:fill="1077A9"/>
          </w:tcPr>
          <w:p>
            <w:pPr>
              <w:spacing w:after="0"/>
              <w:rPr>
                <w:sz w:val="7"/>
                <w:szCs w:val="7"/>
                <w:color w:val="auto"/>
              </w:rPr>
            </w:pPr>
          </w:p>
        </w:tc>
        <w:tc>
          <w:tcPr>
            <w:tcW w:w="1520" w:type="dxa"/>
            <w:vAlign w:val="bottom"/>
            <w:vMerge w:val="continue"/>
            <w:shd w:val="clear" w:color="auto" w:fill="1077A9"/>
          </w:tcPr>
          <w:p>
            <w:pPr>
              <w:spacing w:after="0"/>
              <w:rPr>
                <w:sz w:val="7"/>
                <w:szCs w:val="7"/>
                <w:color w:val="auto"/>
              </w:rPr>
            </w:pPr>
          </w:p>
        </w:tc>
        <w:tc>
          <w:tcPr>
            <w:tcW w:w="2140" w:type="dxa"/>
            <w:vAlign w:val="bottom"/>
            <w:gridSpan w:val="2"/>
            <w:vMerge w:val="restart"/>
            <w:shd w:val="clear" w:color="auto" w:fill="1077A9"/>
          </w:tcPr>
          <w:p>
            <w:pPr>
              <w:jc w:val="center"/>
              <w:ind w:right="60"/>
              <w:spacing w:after="0"/>
              <w:rPr>
                <w:sz w:val="20"/>
                <w:szCs w:val="20"/>
                <w:color w:val="auto"/>
              </w:rPr>
            </w:pPr>
            <w:r>
              <w:rPr>
                <w:rFonts w:ascii="Arial" w:cs="Arial" w:eastAsia="Arial" w:hAnsi="Arial"/>
                <w:sz w:val="14"/>
                <w:szCs w:val="14"/>
                <w:color w:val="FFFFFF"/>
              </w:rPr>
              <w:t>Under Equity Compensation</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2280" w:type="dxa"/>
            <w:vAlign w:val="bottom"/>
            <w:gridSpan w:val="2"/>
            <w:vMerge w:val="restart"/>
            <w:shd w:val="clear" w:color="auto" w:fill="1077A9"/>
          </w:tcPr>
          <w:p>
            <w:pPr>
              <w:jc w:val="center"/>
              <w:spacing w:after="0"/>
              <w:rPr>
                <w:sz w:val="20"/>
                <w:szCs w:val="20"/>
                <w:color w:val="auto"/>
              </w:rPr>
            </w:pPr>
            <w:r>
              <w:rPr>
                <w:rFonts w:ascii="Arial" w:cs="Arial" w:eastAsia="Arial" w:hAnsi="Arial"/>
                <w:sz w:val="14"/>
                <w:szCs w:val="14"/>
                <w:color w:val="FFFFFF"/>
              </w:rPr>
              <w:t>of Outstanding Options,</w:t>
            </w:r>
          </w:p>
        </w:tc>
        <w:tc>
          <w:tcPr>
            <w:tcW w:w="1520" w:type="dxa"/>
            <w:vAlign w:val="bottom"/>
            <w:vMerge w:val="restart"/>
            <w:shd w:val="clear" w:color="auto" w:fill="1077A9"/>
          </w:tcPr>
          <w:p>
            <w:pPr>
              <w:jc w:val="center"/>
              <w:ind w:right="8"/>
              <w:spacing w:after="0"/>
              <w:rPr>
                <w:sz w:val="20"/>
                <w:szCs w:val="20"/>
                <w:color w:val="auto"/>
              </w:rPr>
            </w:pPr>
            <w:r>
              <w:rPr>
                <w:rFonts w:ascii="Arial" w:cs="Arial" w:eastAsia="Arial" w:hAnsi="Arial"/>
                <w:sz w:val="14"/>
                <w:szCs w:val="14"/>
                <w:color w:val="FFFFFF"/>
              </w:rPr>
              <w:t>Options, Warrants</w:t>
            </w:r>
          </w:p>
        </w:tc>
        <w:tc>
          <w:tcPr>
            <w:tcW w:w="2140" w:type="dxa"/>
            <w:vAlign w:val="bottom"/>
            <w:gridSpan w:val="2"/>
            <w:vMerge w:val="continue"/>
            <w:shd w:val="clear" w:color="auto" w:fill="1077A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2280" w:type="dxa"/>
            <w:vAlign w:val="bottom"/>
            <w:gridSpan w:val="2"/>
            <w:vMerge w:val="continue"/>
            <w:shd w:val="clear" w:color="auto" w:fill="1077A9"/>
          </w:tcPr>
          <w:p>
            <w:pPr>
              <w:spacing w:after="0"/>
              <w:rPr>
                <w:sz w:val="7"/>
                <w:szCs w:val="7"/>
                <w:color w:val="auto"/>
              </w:rPr>
            </w:pPr>
          </w:p>
        </w:tc>
        <w:tc>
          <w:tcPr>
            <w:tcW w:w="1520" w:type="dxa"/>
            <w:vAlign w:val="bottom"/>
            <w:vMerge w:val="continue"/>
            <w:shd w:val="clear" w:color="auto" w:fill="1077A9"/>
          </w:tcPr>
          <w:p>
            <w:pPr>
              <w:spacing w:after="0"/>
              <w:rPr>
                <w:sz w:val="7"/>
                <w:szCs w:val="7"/>
                <w:color w:val="auto"/>
              </w:rPr>
            </w:pPr>
          </w:p>
        </w:tc>
        <w:tc>
          <w:tcPr>
            <w:tcW w:w="2140" w:type="dxa"/>
            <w:vAlign w:val="bottom"/>
            <w:gridSpan w:val="2"/>
            <w:vMerge w:val="restart"/>
            <w:shd w:val="clear" w:color="auto" w:fill="1077A9"/>
          </w:tcPr>
          <w:p>
            <w:pPr>
              <w:jc w:val="center"/>
              <w:ind w:right="80"/>
              <w:spacing w:after="0"/>
              <w:rPr>
                <w:sz w:val="20"/>
                <w:szCs w:val="20"/>
                <w:color w:val="auto"/>
              </w:rPr>
            </w:pPr>
            <w:r>
              <w:rPr>
                <w:rFonts w:ascii="Arial" w:cs="Arial" w:eastAsia="Arial" w:hAnsi="Arial"/>
                <w:sz w:val="14"/>
                <w:szCs w:val="14"/>
                <w:color w:val="FFFFFF"/>
              </w:rPr>
              <w:t>Plans (Excluding Securities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2280" w:type="dxa"/>
            <w:vAlign w:val="bottom"/>
            <w:gridSpan w:val="2"/>
            <w:vMerge w:val="restart"/>
            <w:shd w:val="clear" w:color="auto" w:fill="1077A9"/>
          </w:tcPr>
          <w:p>
            <w:pPr>
              <w:jc w:val="center"/>
              <w:spacing w:after="0"/>
              <w:rPr>
                <w:sz w:val="20"/>
                <w:szCs w:val="20"/>
                <w:color w:val="auto"/>
              </w:rPr>
            </w:pPr>
            <w:r>
              <w:rPr>
                <w:rFonts w:ascii="Arial" w:cs="Arial" w:eastAsia="Arial" w:hAnsi="Arial"/>
                <w:sz w:val="14"/>
                <w:szCs w:val="14"/>
                <w:color w:val="FFFFFF"/>
              </w:rPr>
              <w:t>Warrants and Rights</w:t>
            </w:r>
          </w:p>
        </w:tc>
        <w:tc>
          <w:tcPr>
            <w:tcW w:w="1520" w:type="dxa"/>
            <w:vAlign w:val="bottom"/>
            <w:vMerge w:val="restart"/>
            <w:shd w:val="clear" w:color="auto" w:fill="1077A9"/>
          </w:tcPr>
          <w:p>
            <w:pPr>
              <w:jc w:val="center"/>
              <w:ind w:right="8"/>
              <w:spacing w:after="0"/>
              <w:rPr>
                <w:sz w:val="20"/>
                <w:szCs w:val="20"/>
                <w:color w:val="auto"/>
              </w:rPr>
            </w:pPr>
            <w:r>
              <w:rPr>
                <w:rFonts w:ascii="Arial" w:cs="Arial" w:eastAsia="Arial" w:hAnsi="Arial"/>
                <w:sz w:val="14"/>
                <w:szCs w:val="14"/>
                <w:color w:val="FFFFFF"/>
              </w:rPr>
              <w:t>and</w:t>
            </w:r>
          </w:p>
        </w:tc>
        <w:tc>
          <w:tcPr>
            <w:tcW w:w="2140" w:type="dxa"/>
            <w:vAlign w:val="bottom"/>
            <w:gridSpan w:val="2"/>
            <w:vMerge w:val="continue"/>
            <w:shd w:val="clear" w:color="auto" w:fill="1077A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2280" w:type="dxa"/>
            <w:vAlign w:val="bottom"/>
            <w:gridSpan w:val="2"/>
            <w:vMerge w:val="continue"/>
            <w:shd w:val="clear" w:color="auto" w:fill="1077A9"/>
          </w:tcPr>
          <w:p>
            <w:pPr>
              <w:spacing w:after="0"/>
              <w:rPr>
                <w:sz w:val="7"/>
                <w:szCs w:val="7"/>
                <w:color w:val="auto"/>
              </w:rPr>
            </w:pPr>
          </w:p>
        </w:tc>
        <w:tc>
          <w:tcPr>
            <w:tcW w:w="1520" w:type="dxa"/>
            <w:vAlign w:val="bottom"/>
            <w:vMerge w:val="continue"/>
            <w:shd w:val="clear" w:color="auto" w:fill="1077A9"/>
          </w:tcPr>
          <w:p>
            <w:pPr>
              <w:spacing w:after="0"/>
              <w:rPr>
                <w:sz w:val="7"/>
                <w:szCs w:val="7"/>
                <w:color w:val="auto"/>
              </w:rPr>
            </w:pPr>
          </w:p>
        </w:tc>
        <w:tc>
          <w:tcPr>
            <w:tcW w:w="2140" w:type="dxa"/>
            <w:vAlign w:val="bottom"/>
            <w:gridSpan w:val="2"/>
            <w:vMerge w:val="restart"/>
            <w:shd w:val="clear" w:color="auto" w:fill="1077A9"/>
          </w:tcPr>
          <w:p>
            <w:pPr>
              <w:jc w:val="center"/>
              <w:ind w:right="60"/>
              <w:spacing w:after="0"/>
              <w:rPr>
                <w:sz w:val="20"/>
                <w:szCs w:val="20"/>
                <w:color w:val="auto"/>
              </w:rPr>
            </w:pPr>
            <w:r>
              <w:rPr>
                <w:rFonts w:ascii="Arial" w:cs="Arial" w:eastAsia="Arial" w:hAnsi="Arial"/>
                <w:sz w:val="14"/>
                <w:szCs w:val="14"/>
                <w:color w:val="FFFFFF"/>
              </w:rPr>
              <w:t>Reflected in Column (a))</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280" w:type="dxa"/>
            <w:vAlign w:val="bottom"/>
          </w:tcPr>
          <w:p>
            <w:pPr>
              <w:spacing w:after="0"/>
              <w:rPr>
                <w:sz w:val="7"/>
                <w:szCs w:val="7"/>
                <w:color w:val="auto"/>
              </w:rPr>
            </w:pPr>
          </w:p>
        </w:tc>
        <w:tc>
          <w:tcPr>
            <w:tcW w:w="1140" w:type="dxa"/>
            <w:vAlign w:val="bottom"/>
            <w:shd w:val="clear" w:color="auto" w:fill="1077A9"/>
          </w:tcPr>
          <w:p>
            <w:pPr>
              <w:spacing w:after="0"/>
              <w:rPr>
                <w:sz w:val="7"/>
                <w:szCs w:val="7"/>
                <w:color w:val="auto"/>
              </w:rPr>
            </w:pPr>
          </w:p>
        </w:tc>
        <w:tc>
          <w:tcPr>
            <w:tcW w:w="1140" w:type="dxa"/>
            <w:vAlign w:val="bottom"/>
            <w:shd w:val="clear" w:color="auto" w:fill="1077A9"/>
          </w:tcPr>
          <w:p>
            <w:pPr>
              <w:spacing w:after="0"/>
              <w:rPr>
                <w:sz w:val="7"/>
                <w:szCs w:val="7"/>
                <w:color w:val="auto"/>
              </w:rPr>
            </w:pPr>
          </w:p>
        </w:tc>
        <w:tc>
          <w:tcPr>
            <w:tcW w:w="1520" w:type="dxa"/>
            <w:vAlign w:val="bottom"/>
            <w:vMerge w:val="restart"/>
            <w:shd w:val="clear" w:color="auto" w:fill="1077A9"/>
          </w:tcPr>
          <w:p>
            <w:pPr>
              <w:jc w:val="center"/>
              <w:ind w:right="28"/>
              <w:spacing w:after="0"/>
              <w:rPr>
                <w:sz w:val="20"/>
                <w:szCs w:val="20"/>
                <w:color w:val="auto"/>
              </w:rPr>
            </w:pPr>
            <w:r>
              <w:rPr>
                <w:rFonts w:ascii="Arial" w:cs="Arial" w:eastAsia="Arial" w:hAnsi="Arial"/>
                <w:sz w:val="14"/>
                <w:szCs w:val="14"/>
                <w:color w:val="FFFFFF"/>
              </w:rPr>
              <w:t>Rights($)</w:t>
            </w:r>
          </w:p>
        </w:tc>
        <w:tc>
          <w:tcPr>
            <w:tcW w:w="2140" w:type="dxa"/>
            <w:vAlign w:val="bottom"/>
            <w:gridSpan w:val="2"/>
            <w:vMerge w:val="continue"/>
            <w:shd w:val="clear" w:color="auto" w:fill="1077A9"/>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5280" w:type="dxa"/>
            <w:vAlign w:val="bottom"/>
          </w:tcPr>
          <w:p>
            <w:pPr>
              <w:spacing w:after="0"/>
              <w:rPr>
                <w:sz w:val="8"/>
                <w:szCs w:val="8"/>
                <w:color w:val="auto"/>
              </w:rPr>
            </w:pPr>
          </w:p>
        </w:tc>
        <w:tc>
          <w:tcPr>
            <w:tcW w:w="1140" w:type="dxa"/>
            <w:vAlign w:val="bottom"/>
            <w:tcBorders>
              <w:bottom w:val="single" w:sz="8" w:color="1077A9"/>
            </w:tcBorders>
            <w:shd w:val="clear" w:color="auto" w:fill="1077A9"/>
          </w:tcPr>
          <w:p>
            <w:pPr>
              <w:spacing w:after="0"/>
              <w:rPr>
                <w:sz w:val="8"/>
                <w:szCs w:val="8"/>
                <w:color w:val="auto"/>
              </w:rPr>
            </w:pPr>
          </w:p>
        </w:tc>
        <w:tc>
          <w:tcPr>
            <w:tcW w:w="1140" w:type="dxa"/>
            <w:vAlign w:val="bottom"/>
            <w:tcBorders>
              <w:bottom w:val="single" w:sz="8" w:color="1077A9"/>
            </w:tcBorders>
            <w:shd w:val="clear" w:color="auto" w:fill="1077A9"/>
          </w:tcPr>
          <w:p>
            <w:pPr>
              <w:spacing w:after="0"/>
              <w:rPr>
                <w:sz w:val="8"/>
                <w:szCs w:val="8"/>
                <w:color w:val="auto"/>
              </w:rPr>
            </w:pPr>
          </w:p>
        </w:tc>
        <w:tc>
          <w:tcPr>
            <w:tcW w:w="1520" w:type="dxa"/>
            <w:vAlign w:val="bottom"/>
            <w:tcBorders>
              <w:bottom w:val="single" w:sz="8" w:color="1077A9"/>
            </w:tcBorders>
            <w:vMerge w:val="continue"/>
            <w:shd w:val="clear" w:color="auto" w:fill="1077A9"/>
          </w:tcPr>
          <w:p>
            <w:pPr>
              <w:spacing w:after="0"/>
              <w:rPr>
                <w:sz w:val="8"/>
                <w:szCs w:val="8"/>
                <w:color w:val="auto"/>
              </w:rPr>
            </w:pPr>
          </w:p>
        </w:tc>
        <w:tc>
          <w:tcPr>
            <w:tcW w:w="1040" w:type="dxa"/>
            <w:vAlign w:val="bottom"/>
            <w:tcBorders>
              <w:bottom w:val="single" w:sz="8" w:color="1077A9"/>
            </w:tcBorders>
            <w:shd w:val="clear" w:color="auto" w:fill="1077A9"/>
          </w:tcPr>
          <w:p>
            <w:pPr>
              <w:spacing w:after="0"/>
              <w:rPr>
                <w:sz w:val="8"/>
                <w:szCs w:val="8"/>
                <w:color w:val="auto"/>
              </w:rPr>
            </w:pPr>
          </w:p>
        </w:tc>
        <w:tc>
          <w:tcPr>
            <w:tcW w:w="1100" w:type="dxa"/>
            <w:vAlign w:val="bottom"/>
            <w:tcBorders>
              <w:bottom w:val="single" w:sz="8" w:color="1077A9"/>
            </w:tcBorders>
            <w:shd w:val="clear" w:color="auto" w:fill="1077A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color w:val="auto"/>
                <w:w w:val="93"/>
              </w:rPr>
              <w:t>(a)</w:t>
            </w:r>
          </w:p>
        </w:tc>
        <w:tc>
          <w:tcPr>
            <w:tcW w:w="1520" w:type="dxa"/>
            <w:vAlign w:val="bottom"/>
          </w:tcPr>
          <w:p>
            <w:pPr>
              <w:jc w:val="center"/>
              <w:ind w:right="28"/>
              <w:spacing w:after="0"/>
              <w:rPr>
                <w:sz w:val="20"/>
                <w:szCs w:val="20"/>
                <w:color w:val="auto"/>
              </w:rPr>
            </w:pPr>
            <w:r>
              <w:rPr>
                <w:rFonts w:ascii="Arial" w:cs="Arial" w:eastAsia="Arial" w:hAnsi="Arial"/>
                <w:sz w:val="14"/>
                <w:szCs w:val="14"/>
                <w:color w:val="auto"/>
              </w:rPr>
              <w:t>(b)</w:t>
            </w:r>
          </w:p>
        </w:tc>
        <w:tc>
          <w:tcPr>
            <w:tcW w:w="2140" w:type="dxa"/>
            <w:vAlign w:val="bottom"/>
            <w:gridSpan w:val="2"/>
          </w:tcPr>
          <w:p>
            <w:pPr>
              <w:jc w:val="center"/>
              <w:ind w:right="80"/>
              <w:spacing w:after="0"/>
              <w:rPr>
                <w:sz w:val="20"/>
                <w:szCs w:val="20"/>
                <w:color w:val="auto"/>
              </w:rPr>
            </w:pPr>
            <w:r>
              <w:rPr>
                <w:rFonts w:ascii="Arial" w:cs="Arial" w:eastAsia="Arial" w:hAnsi="Arial"/>
                <w:sz w:val="14"/>
                <w:szCs w:val="14"/>
                <w:color w:val="auto"/>
              </w:rPr>
              <w:t>(c)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5E6E6"/>
          </w:tcPr>
          <w:p>
            <w:pPr>
              <w:ind w:left="100"/>
              <w:spacing w:after="0"/>
              <w:rPr>
                <w:sz w:val="20"/>
                <w:szCs w:val="20"/>
                <w:color w:val="auto"/>
              </w:rPr>
            </w:pPr>
            <w:r>
              <w:rPr>
                <w:rFonts w:ascii="Arial" w:cs="Arial" w:eastAsia="Arial" w:hAnsi="Arial"/>
                <w:sz w:val="14"/>
                <w:szCs w:val="14"/>
                <w:color w:val="auto"/>
              </w:rPr>
              <w:t>Equity Compensation Plans Approved by Shareholders</w:t>
            </w:r>
          </w:p>
        </w:tc>
        <w:tc>
          <w:tcPr>
            <w:tcW w:w="2280" w:type="dxa"/>
            <w:vAlign w:val="bottom"/>
            <w:gridSpan w:val="2"/>
            <w:shd w:val="clear" w:color="auto" w:fill="E5E6E6"/>
          </w:tcPr>
          <w:p>
            <w:pPr>
              <w:jc w:val="right"/>
              <w:ind w:right="120"/>
              <w:spacing w:after="0"/>
              <w:rPr>
                <w:sz w:val="20"/>
                <w:szCs w:val="20"/>
                <w:color w:val="auto"/>
              </w:rPr>
            </w:pPr>
            <w:r>
              <w:rPr>
                <w:rFonts w:ascii="Arial" w:cs="Arial" w:eastAsia="Arial" w:hAnsi="Arial"/>
                <w:sz w:val="14"/>
                <w:szCs w:val="14"/>
                <w:color w:val="auto"/>
              </w:rPr>
              <w:t>893,431</w:t>
            </w:r>
          </w:p>
        </w:tc>
        <w:tc>
          <w:tcPr>
            <w:tcW w:w="1520" w:type="dxa"/>
            <w:vAlign w:val="bottom"/>
            <w:shd w:val="clear" w:color="auto" w:fill="E5E6E6"/>
          </w:tcPr>
          <w:p>
            <w:pPr>
              <w:ind w:left="1280"/>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1</w:t>
            </w:r>
          </w:p>
        </w:tc>
        <w:tc>
          <w:tcPr>
            <w:tcW w:w="2140" w:type="dxa"/>
            <w:vAlign w:val="bottom"/>
            <w:gridSpan w:val="2"/>
            <w:shd w:val="clear" w:color="auto" w:fill="E5E6E6"/>
          </w:tcPr>
          <w:p>
            <w:pPr>
              <w:jc w:val="right"/>
              <w:ind w:right="100"/>
              <w:spacing w:after="0"/>
              <w:rPr>
                <w:sz w:val="20"/>
                <w:szCs w:val="20"/>
                <w:color w:val="auto"/>
              </w:rPr>
            </w:pPr>
            <w:r>
              <w:rPr>
                <w:rFonts w:ascii="Arial" w:cs="Arial" w:eastAsia="Arial" w:hAnsi="Arial"/>
                <w:sz w:val="14"/>
                <w:szCs w:val="14"/>
                <w:color w:val="auto"/>
              </w:rPr>
              <w:t>908,490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80" w:type="dxa"/>
            <w:vAlign w:val="bottom"/>
          </w:tcPr>
          <w:p>
            <w:pPr>
              <w:ind w:left="100"/>
              <w:spacing w:after="0"/>
              <w:rPr>
                <w:sz w:val="20"/>
                <w:szCs w:val="20"/>
                <w:color w:val="auto"/>
              </w:rPr>
            </w:pPr>
            <w:r>
              <w:rPr>
                <w:rFonts w:ascii="Arial" w:cs="Arial" w:eastAsia="Arial" w:hAnsi="Arial"/>
                <w:sz w:val="14"/>
                <w:szCs w:val="14"/>
                <w:color w:val="auto"/>
              </w:rPr>
              <w:t>Equity Compensation Plans Not Approved by Shareholders</w:t>
            </w:r>
          </w:p>
        </w:tc>
        <w:tc>
          <w:tcPr>
            <w:tcW w:w="2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20" w:type="dxa"/>
            <w:vAlign w:val="bottom"/>
          </w:tcPr>
          <w:p>
            <w:pPr>
              <w:ind w:left="1280"/>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280" w:type="dxa"/>
            <w:vAlign w:val="bottom"/>
            <w:tcBorders>
              <w:bottom w:val="single" w:sz="8" w:color="E5E6E6"/>
            </w:tcBorders>
          </w:tcPr>
          <w:p>
            <w:pPr>
              <w:spacing w:after="0"/>
              <w:rPr>
                <w:sz w:val="3"/>
                <w:szCs w:val="3"/>
                <w:color w:val="auto"/>
              </w:rPr>
            </w:pPr>
          </w:p>
        </w:tc>
        <w:tc>
          <w:tcPr>
            <w:tcW w:w="1140" w:type="dxa"/>
            <w:vAlign w:val="bottom"/>
            <w:tcBorders>
              <w:bottom w:val="single" w:sz="8" w:color="E5E6E6"/>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520" w:type="dxa"/>
            <w:vAlign w:val="bottom"/>
            <w:tcBorders>
              <w:bottom w:val="single" w:sz="8" w:color="E5E6E6"/>
            </w:tcBorders>
          </w:tcPr>
          <w:p>
            <w:pPr>
              <w:spacing w:after="0"/>
              <w:rPr>
                <w:sz w:val="3"/>
                <w:szCs w:val="3"/>
                <w:color w:val="auto"/>
              </w:rPr>
            </w:pPr>
          </w:p>
        </w:tc>
        <w:tc>
          <w:tcPr>
            <w:tcW w:w="1040" w:type="dxa"/>
            <w:vAlign w:val="bottom"/>
            <w:tcBorders>
              <w:bottom w:val="single" w:sz="8" w:color="E5E6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280" w:type="dxa"/>
            <w:vAlign w:val="bottom"/>
            <w:shd w:val="clear" w:color="auto" w:fill="E5E6E6"/>
          </w:tcPr>
          <w:p>
            <w:pPr>
              <w:ind w:left="340"/>
              <w:spacing w:after="0"/>
              <w:rPr>
                <w:sz w:val="20"/>
                <w:szCs w:val="20"/>
                <w:color w:val="auto"/>
              </w:rPr>
            </w:pPr>
            <w:r>
              <w:rPr>
                <w:rFonts w:ascii="Arial" w:cs="Arial" w:eastAsia="Arial" w:hAnsi="Arial"/>
                <w:sz w:val="14"/>
                <w:szCs w:val="14"/>
                <w:color w:val="auto"/>
              </w:rPr>
              <w:t>Total</w:t>
            </w:r>
          </w:p>
        </w:tc>
        <w:tc>
          <w:tcPr>
            <w:tcW w:w="2280" w:type="dxa"/>
            <w:vAlign w:val="bottom"/>
            <w:gridSpan w:val="2"/>
            <w:shd w:val="clear" w:color="auto" w:fill="E5E6E6"/>
          </w:tcPr>
          <w:p>
            <w:pPr>
              <w:jc w:val="right"/>
              <w:ind w:right="120"/>
              <w:spacing w:after="0"/>
              <w:rPr>
                <w:sz w:val="20"/>
                <w:szCs w:val="20"/>
                <w:color w:val="auto"/>
              </w:rPr>
            </w:pPr>
            <w:r>
              <w:rPr>
                <w:rFonts w:ascii="Arial" w:cs="Arial" w:eastAsia="Arial" w:hAnsi="Arial"/>
                <w:sz w:val="14"/>
                <w:szCs w:val="14"/>
                <w:color w:val="auto"/>
              </w:rPr>
              <w:t>893,431</w:t>
            </w:r>
          </w:p>
        </w:tc>
        <w:tc>
          <w:tcPr>
            <w:tcW w:w="1520" w:type="dxa"/>
            <w:vAlign w:val="bottom"/>
            <w:shd w:val="clear" w:color="auto" w:fill="E5E6E6"/>
          </w:tcPr>
          <w:p>
            <w:pPr>
              <w:ind w:left="1280"/>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E5E6E6"/>
          </w:tcPr>
          <w:p>
            <w:pPr>
              <w:jc w:val="right"/>
              <w:ind w:right="100"/>
              <w:spacing w:after="0"/>
              <w:rPr>
                <w:sz w:val="20"/>
                <w:szCs w:val="20"/>
                <w:color w:val="auto"/>
              </w:rPr>
            </w:pPr>
            <w:r>
              <w:rPr>
                <w:rFonts w:ascii="Arial" w:cs="Arial" w:eastAsia="Arial" w:hAnsi="Arial"/>
                <w:sz w:val="14"/>
                <w:szCs w:val="14"/>
                <w:color w:val="auto"/>
              </w:rPr>
              <w:t>908,490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E5E6E6"/>
              <w:bottom w:val="single" w:sz="8" w:color="E5E6E6"/>
            </w:tcBorders>
            <w:vMerge w:val="restart"/>
          </w:tcPr>
          <w:p>
            <w:pPr>
              <w:spacing w:after="0" w:line="243"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The units reflected in column (a) have no exercise price.</w:t>
            </w:r>
          </w:p>
        </w:tc>
        <w:tc>
          <w:tcPr>
            <w:tcW w:w="1140" w:type="dxa"/>
            <w:vAlign w:val="bottom"/>
            <w:tcBorders>
              <w:top w:val="single" w:sz="8" w:color="E5E6E6"/>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E5E6E6"/>
            </w:tcBorders>
          </w:tcPr>
          <w:p>
            <w:pPr>
              <w:spacing w:after="0" w:line="20" w:lineRule="exact"/>
              <w:rPr>
                <w:sz w:val="1"/>
                <w:szCs w:val="1"/>
                <w:color w:val="auto"/>
              </w:rPr>
            </w:pPr>
          </w:p>
        </w:tc>
        <w:tc>
          <w:tcPr>
            <w:tcW w:w="1040" w:type="dxa"/>
            <w:vAlign w:val="bottom"/>
            <w:tcBorders>
              <w:top w:val="single" w:sz="8" w:color="E5E6E6"/>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Borders>
              <w:bottom w:val="single" w:sz="8" w:color="E5E6E6"/>
            </w:tcBorders>
            <w:vMerge w:val="continue"/>
          </w:tcPr>
          <w:p>
            <w:pPr>
              <w:spacing w:after="0"/>
              <w:rPr>
                <w:sz w:val="17"/>
                <w:szCs w:val="17"/>
                <w:color w:val="auto"/>
              </w:rPr>
            </w:pPr>
          </w:p>
        </w:tc>
        <w:tc>
          <w:tcPr>
            <w:tcW w:w="1140" w:type="dxa"/>
            <w:vAlign w:val="bottom"/>
            <w:tcBorders>
              <w:bottom w:val="single" w:sz="8" w:color="E5E6E6"/>
            </w:tcBorders>
          </w:tcPr>
          <w:p>
            <w:pPr>
              <w:spacing w:after="0"/>
              <w:rPr>
                <w:sz w:val="17"/>
                <w:szCs w:val="17"/>
                <w:color w:val="auto"/>
              </w:rPr>
            </w:pPr>
          </w:p>
        </w:tc>
        <w:tc>
          <w:tcPr>
            <w:tcW w:w="1140" w:type="dxa"/>
            <w:vAlign w:val="bottom"/>
            <w:tcBorders>
              <w:bottom w:val="single" w:sz="8" w:color="E5E6E6"/>
            </w:tcBorders>
          </w:tcPr>
          <w:p>
            <w:pPr>
              <w:spacing w:after="0"/>
              <w:rPr>
                <w:sz w:val="17"/>
                <w:szCs w:val="17"/>
                <w:color w:val="auto"/>
              </w:rPr>
            </w:pPr>
          </w:p>
        </w:tc>
        <w:tc>
          <w:tcPr>
            <w:tcW w:w="1520" w:type="dxa"/>
            <w:vAlign w:val="bottom"/>
            <w:tcBorders>
              <w:bottom w:val="single" w:sz="8" w:color="E5E6E6"/>
            </w:tcBorders>
          </w:tcPr>
          <w:p>
            <w:pPr>
              <w:spacing w:after="0"/>
              <w:rPr>
                <w:sz w:val="17"/>
                <w:szCs w:val="17"/>
                <w:color w:val="auto"/>
              </w:rPr>
            </w:pPr>
          </w:p>
        </w:tc>
        <w:tc>
          <w:tcPr>
            <w:tcW w:w="1040" w:type="dxa"/>
            <w:vAlign w:val="bottom"/>
            <w:tcBorders>
              <w:bottom w:val="single" w:sz="8" w:color="E5E6E6"/>
            </w:tcBorders>
          </w:tcPr>
          <w:p>
            <w:pPr>
              <w:spacing w:after="0"/>
              <w:rPr>
                <w:sz w:val="17"/>
                <w:szCs w:val="17"/>
                <w:color w:val="auto"/>
              </w:rPr>
            </w:pPr>
          </w:p>
        </w:tc>
        <w:tc>
          <w:tcPr>
            <w:tcW w:w="1100" w:type="dxa"/>
            <w:vAlign w:val="bottom"/>
            <w:tcBorders>
              <w:bottom w:val="single" w:sz="8" w:color="E5E6E6"/>
            </w:tcBorders>
          </w:tcPr>
          <w:p>
            <w:pPr>
              <w:spacing w:after="0"/>
              <w:rPr>
                <w:sz w:val="17"/>
                <w:szCs w:val="17"/>
                <w:color w:val="auto"/>
              </w:rPr>
            </w:pPr>
          </w:p>
        </w:tc>
        <w:tc>
          <w:tcPr>
            <w:tcW w:w="20" w:type="dxa"/>
            <w:vAlign w:val="bottom"/>
            <w:tcBorders>
              <w:bottom w:val="single" w:sz="8" w:color="E5E6E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Pension Benefits</w:t>
      </w:r>
    </w:p>
    <w:p>
      <w:pPr>
        <w:spacing w:after="0" w:line="237"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The following table presents select retirement benefit information for 2020 for each NEO. Columns have been omitted from this table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116840</wp:posOffset>
            </wp:positionV>
            <wp:extent cx="17145" cy="274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145" cy="27432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116840</wp:posOffset>
            </wp:positionV>
            <wp:extent cx="17145" cy="2743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 cy="27432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116840</wp:posOffset>
            </wp:positionV>
            <wp:extent cx="17145" cy="2743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145" cy="27432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20" w:type="dxa"/>
            <w:vAlign w:val="bottom"/>
            <w:vMerge w:val="restart"/>
            <w:shd w:val="clear" w:color="auto" w:fill="1077A9"/>
          </w:tcPr>
          <w:p>
            <w:pPr>
              <w:ind w:left="100"/>
              <w:spacing w:after="0"/>
              <w:rPr>
                <w:sz w:val="20"/>
                <w:szCs w:val="20"/>
                <w:color w:val="auto"/>
              </w:rPr>
            </w:pPr>
            <w:r>
              <w:rPr>
                <w:rFonts w:ascii="Arial" w:cs="Arial" w:eastAsia="Arial" w:hAnsi="Arial"/>
                <w:sz w:val="14"/>
                <w:szCs w:val="14"/>
                <w:color w:val="FFFFFF"/>
              </w:rPr>
              <w:t>Name</w:t>
            </w:r>
          </w:p>
        </w:tc>
        <w:tc>
          <w:tcPr>
            <w:tcW w:w="3900" w:type="dxa"/>
            <w:vAlign w:val="bottom"/>
            <w:vMerge w:val="restart"/>
            <w:shd w:val="clear" w:color="auto" w:fill="1077A9"/>
          </w:tcPr>
          <w:p>
            <w:pPr>
              <w:jc w:val="center"/>
              <w:ind w:left="1868"/>
              <w:spacing w:after="0"/>
              <w:rPr>
                <w:sz w:val="20"/>
                <w:szCs w:val="20"/>
                <w:color w:val="auto"/>
              </w:rPr>
            </w:pPr>
            <w:r>
              <w:rPr>
                <w:rFonts w:ascii="Arial" w:cs="Arial" w:eastAsia="Arial" w:hAnsi="Arial"/>
                <w:sz w:val="14"/>
                <w:szCs w:val="14"/>
                <w:color w:val="FFFFFF"/>
              </w:rPr>
              <w:t>Plan Name</w:t>
            </w:r>
          </w:p>
        </w:tc>
        <w:tc>
          <w:tcPr>
            <w:tcW w:w="1960" w:type="dxa"/>
            <w:vAlign w:val="bottom"/>
            <w:shd w:val="clear" w:color="auto" w:fill="1077A9"/>
          </w:tcPr>
          <w:p>
            <w:pPr>
              <w:jc w:val="right"/>
              <w:ind w:right="48"/>
              <w:spacing w:after="0"/>
              <w:rPr>
                <w:sz w:val="20"/>
                <w:szCs w:val="20"/>
                <w:color w:val="auto"/>
              </w:rPr>
            </w:pPr>
            <w:r>
              <w:rPr>
                <w:rFonts w:ascii="Arial" w:cs="Arial" w:eastAsia="Arial" w:hAnsi="Arial"/>
                <w:sz w:val="14"/>
                <w:szCs w:val="14"/>
                <w:color w:val="FFFFFF"/>
              </w:rPr>
              <w:t>Number of Years Credited</w:t>
            </w:r>
          </w:p>
        </w:tc>
        <w:tc>
          <w:tcPr>
            <w:tcW w:w="1760" w:type="dxa"/>
            <w:vAlign w:val="bottom"/>
            <w:shd w:val="clear" w:color="auto" w:fill="1077A9"/>
          </w:tcPr>
          <w:p>
            <w:pPr>
              <w:jc w:val="right"/>
              <w:ind w:right="308"/>
              <w:spacing w:after="0"/>
              <w:rPr>
                <w:sz w:val="20"/>
                <w:szCs w:val="20"/>
                <w:color w:val="auto"/>
              </w:rPr>
            </w:pPr>
            <w:r>
              <w:rPr>
                <w:rFonts w:ascii="Arial" w:cs="Arial" w:eastAsia="Arial" w:hAnsi="Arial"/>
                <w:sz w:val="14"/>
                <w:szCs w:val="14"/>
                <w:color w:val="FFFFFF"/>
              </w:rPr>
              <w:t>Present Value of</w:t>
            </w:r>
          </w:p>
        </w:tc>
        <w:tc>
          <w:tcPr>
            <w:tcW w:w="0" w:type="dxa"/>
            <w:vAlign w:val="bottom"/>
          </w:tcPr>
          <w:p>
            <w:pPr>
              <w:spacing w:after="0"/>
              <w:rPr>
                <w:sz w:val="1"/>
                <w:szCs w:val="1"/>
                <w:color w:val="auto"/>
              </w:rPr>
            </w:pPr>
          </w:p>
        </w:tc>
      </w:tr>
      <w:tr>
        <w:trPr>
          <w:trHeight w:val="91"/>
        </w:trPr>
        <w:tc>
          <w:tcPr>
            <w:tcW w:w="3620" w:type="dxa"/>
            <w:vAlign w:val="bottom"/>
            <w:vMerge w:val="continue"/>
            <w:shd w:val="clear" w:color="auto" w:fill="1077A9"/>
          </w:tcPr>
          <w:p>
            <w:pPr>
              <w:spacing w:after="0"/>
              <w:rPr>
                <w:sz w:val="7"/>
                <w:szCs w:val="7"/>
                <w:color w:val="auto"/>
              </w:rPr>
            </w:pPr>
          </w:p>
        </w:tc>
        <w:tc>
          <w:tcPr>
            <w:tcW w:w="3900" w:type="dxa"/>
            <w:vAlign w:val="bottom"/>
            <w:vMerge w:val="continue"/>
            <w:shd w:val="clear" w:color="auto" w:fill="1077A9"/>
          </w:tcPr>
          <w:p>
            <w:pPr>
              <w:spacing w:after="0"/>
              <w:rPr>
                <w:sz w:val="7"/>
                <w:szCs w:val="7"/>
                <w:color w:val="auto"/>
              </w:rPr>
            </w:pPr>
          </w:p>
        </w:tc>
        <w:tc>
          <w:tcPr>
            <w:tcW w:w="1960" w:type="dxa"/>
            <w:vAlign w:val="bottom"/>
            <w:vMerge w:val="restart"/>
            <w:shd w:val="clear" w:color="auto" w:fill="1077A9"/>
          </w:tcPr>
          <w:p>
            <w:pPr>
              <w:jc w:val="right"/>
              <w:ind w:right="508"/>
              <w:spacing w:after="0"/>
              <w:rPr>
                <w:sz w:val="20"/>
                <w:szCs w:val="20"/>
                <w:color w:val="auto"/>
              </w:rPr>
            </w:pPr>
            <w:r>
              <w:rPr>
                <w:rFonts w:ascii="Arial" w:cs="Arial" w:eastAsia="Arial" w:hAnsi="Arial"/>
                <w:sz w:val="14"/>
                <w:szCs w:val="14"/>
                <w:color w:val="FFFFFF"/>
              </w:rPr>
              <w:t>Service (#)</w:t>
            </w:r>
          </w:p>
        </w:tc>
        <w:tc>
          <w:tcPr>
            <w:tcW w:w="1760" w:type="dxa"/>
            <w:vAlign w:val="bottom"/>
            <w:vMerge w:val="restart"/>
            <w:shd w:val="clear" w:color="auto" w:fill="1077A9"/>
          </w:tcPr>
          <w:p>
            <w:pPr>
              <w:jc w:val="right"/>
              <w:ind w:right="48"/>
              <w:spacing w:after="0"/>
              <w:rPr>
                <w:sz w:val="20"/>
                <w:szCs w:val="20"/>
                <w:color w:val="auto"/>
              </w:rPr>
            </w:pPr>
            <w:r>
              <w:rPr>
                <w:rFonts w:ascii="Arial" w:cs="Arial" w:eastAsia="Arial" w:hAnsi="Arial"/>
                <w:sz w:val="14"/>
                <w:szCs w:val="14"/>
                <w:color w:val="FFFFFF"/>
              </w:rPr>
              <w:t>Accumulated Benefit ($)</w:t>
            </w:r>
          </w:p>
        </w:tc>
        <w:tc>
          <w:tcPr>
            <w:tcW w:w="0" w:type="dxa"/>
            <w:vAlign w:val="bottom"/>
          </w:tcPr>
          <w:p>
            <w:pPr>
              <w:spacing w:after="0"/>
              <w:rPr>
                <w:sz w:val="1"/>
                <w:szCs w:val="1"/>
                <w:color w:val="auto"/>
              </w:rPr>
            </w:pPr>
          </w:p>
        </w:tc>
      </w:tr>
      <w:tr>
        <w:trPr>
          <w:trHeight w:val="100"/>
        </w:trPr>
        <w:tc>
          <w:tcPr>
            <w:tcW w:w="3620" w:type="dxa"/>
            <w:vAlign w:val="bottom"/>
            <w:tcBorders>
              <w:bottom w:val="single" w:sz="8" w:color="1077A9"/>
            </w:tcBorders>
            <w:shd w:val="clear" w:color="auto" w:fill="1077A9"/>
          </w:tcPr>
          <w:p>
            <w:pPr>
              <w:spacing w:after="0"/>
              <w:rPr>
                <w:sz w:val="8"/>
                <w:szCs w:val="8"/>
                <w:color w:val="auto"/>
              </w:rPr>
            </w:pPr>
          </w:p>
        </w:tc>
        <w:tc>
          <w:tcPr>
            <w:tcW w:w="3900" w:type="dxa"/>
            <w:vAlign w:val="bottom"/>
            <w:tcBorders>
              <w:bottom w:val="single" w:sz="8" w:color="1077A9"/>
            </w:tcBorders>
            <w:shd w:val="clear" w:color="auto" w:fill="1077A9"/>
          </w:tcPr>
          <w:p>
            <w:pPr>
              <w:spacing w:after="0"/>
              <w:rPr>
                <w:sz w:val="8"/>
                <w:szCs w:val="8"/>
                <w:color w:val="auto"/>
              </w:rPr>
            </w:pPr>
          </w:p>
        </w:tc>
        <w:tc>
          <w:tcPr>
            <w:tcW w:w="1960" w:type="dxa"/>
            <w:vAlign w:val="bottom"/>
            <w:tcBorders>
              <w:bottom w:val="single" w:sz="8" w:color="1077A9"/>
            </w:tcBorders>
            <w:vMerge w:val="continue"/>
            <w:shd w:val="clear" w:color="auto" w:fill="1077A9"/>
          </w:tcPr>
          <w:p>
            <w:pPr>
              <w:spacing w:after="0"/>
              <w:rPr>
                <w:sz w:val="8"/>
                <w:szCs w:val="8"/>
                <w:color w:val="auto"/>
              </w:rPr>
            </w:pPr>
          </w:p>
        </w:tc>
        <w:tc>
          <w:tcPr>
            <w:tcW w:w="1760" w:type="dxa"/>
            <w:vAlign w:val="bottom"/>
            <w:tcBorders>
              <w:bottom w:val="single" w:sz="8" w:color="1077A9"/>
            </w:tcBorders>
            <w:vMerge w:val="continue"/>
            <w:shd w:val="clear" w:color="auto" w:fill="1077A9"/>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620" w:type="dxa"/>
            <w:vAlign w:val="bottom"/>
          </w:tcPr>
          <w:p>
            <w:pPr>
              <w:ind w:left="100"/>
              <w:spacing w:after="0"/>
              <w:rPr>
                <w:sz w:val="20"/>
                <w:szCs w:val="20"/>
                <w:color w:val="auto"/>
              </w:rPr>
            </w:pPr>
            <w:r>
              <w:rPr>
                <w:rFonts w:ascii="Arial" w:cs="Arial" w:eastAsia="Arial" w:hAnsi="Arial"/>
                <w:sz w:val="14"/>
                <w:szCs w:val="14"/>
                <w:color w:val="auto"/>
              </w:rPr>
              <w:t>H. Lynn Harton</w:t>
            </w:r>
          </w:p>
        </w:tc>
        <w:tc>
          <w:tcPr>
            <w:tcW w:w="3900" w:type="dxa"/>
            <w:vAlign w:val="bottom"/>
          </w:tcPr>
          <w:p>
            <w:pPr>
              <w:jc w:val="center"/>
              <w:ind w:left="1848"/>
              <w:spacing w:after="0"/>
              <w:rPr>
                <w:sz w:val="20"/>
                <w:szCs w:val="20"/>
                <w:color w:val="auto"/>
              </w:rPr>
            </w:pPr>
            <w:r>
              <w:rPr>
                <w:rFonts w:ascii="Arial" w:cs="Arial" w:eastAsia="Arial" w:hAnsi="Arial"/>
                <w:sz w:val="14"/>
                <w:szCs w:val="14"/>
                <w:color w:val="auto"/>
              </w:rPr>
              <w:t>Modified Retirement Plan</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$ 4,181,758</w:t>
            </w:r>
          </w:p>
        </w:tc>
        <w:tc>
          <w:tcPr>
            <w:tcW w:w="0" w:type="dxa"/>
            <w:vAlign w:val="bottom"/>
          </w:tcPr>
          <w:p>
            <w:pPr>
              <w:spacing w:after="0"/>
              <w:rPr>
                <w:sz w:val="1"/>
                <w:szCs w:val="1"/>
                <w:color w:val="auto"/>
              </w:rPr>
            </w:pPr>
          </w:p>
        </w:tc>
      </w:tr>
      <w:tr>
        <w:trPr>
          <w:trHeight w:val="189"/>
        </w:trPr>
        <w:tc>
          <w:tcPr>
            <w:tcW w:w="3620" w:type="dxa"/>
            <w:vAlign w:val="bottom"/>
            <w:shd w:val="clear" w:color="auto" w:fill="E5E6E6"/>
          </w:tcPr>
          <w:p>
            <w:pPr>
              <w:ind w:left="100"/>
              <w:spacing w:after="0"/>
              <w:rPr>
                <w:sz w:val="20"/>
                <w:szCs w:val="20"/>
                <w:color w:val="auto"/>
              </w:rPr>
            </w:pPr>
            <w:r>
              <w:rPr>
                <w:rFonts w:ascii="Arial" w:cs="Arial" w:eastAsia="Arial" w:hAnsi="Arial"/>
                <w:sz w:val="14"/>
                <w:szCs w:val="14"/>
                <w:color w:val="auto"/>
              </w:rPr>
              <w:t>Jefferson L. Harralson</w:t>
            </w:r>
          </w:p>
        </w:tc>
        <w:tc>
          <w:tcPr>
            <w:tcW w:w="3900" w:type="dxa"/>
            <w:vAlign w:val="bottom"/>
            <w:shd w:val="clear" w:color="auto" w:fill="E5E6E6"/>
          </w:tcPr>
          <w:p>
            <w:pPr>
              <w:jc w:val="center"/>
              <w:ind w:left="1848"/>
              <w:spacing w:after="0"/>
              <w:rPr>
                <w:sz w:val="20"/>
                <w:szCs w:val="20"/>
                <w:color w:val="auto"/>
              </w:rPr>
            </w:pPr>
            <w:r>
              <w:rPr>
                <w:rFonts w:ascii="Arial" w:cs="Arial" w:eastAsia="Arial" w:hAnsi="Arial"/>
                <w:sz w:val="14"/>
                <w:szCs w:val="14"/>
                <w:color w:val="auto"/>
              </w:rPr>
              <w:t>Modified Retirement Plan</w:t>
            </w:r>
          </w:p>
        </w:tc>
        <w:tc>
          <w:tcPr>
            <w:tcW w:w="1960" w:type="dxa"/>
            <w:vAlign w:val="bottom"/>
            <w:shd w:val="clear" w:color="auto" w:fill="E5E6E6"/>
          </w:tcPr>
          <w:p>
            <w:pPr>
              <w:jc w:val="right"/>
              <w:ind w:right="48"/>
              <w:spacing w:after="0"/>
              <w:rPr>
                <w:sz w:val="20"/>
                <w:szCs w:val="20"/>
                <w:color w:val="auto"/>
              </w:rPr>
            </w:pPr>
            <w:r>
              <w:rPr>
                <w:rFonts w:ascii="Arial" w:cs="Arial" w:eastAsia="Arial" w:hAnsi="Arial"/>
                <w:sz w:val="14"/>
                <w:szCs w:val="14"/>
                <w:color w:val="auto"/>
              </w:rPr>
              <w:t>3.7</w:t>
            </w:r>
          </w:p>
        </w:tc>
        <w:tc>
          <w:tcPr>
            <w:tcW w:w="1760" w:type="dxa"/>
            <w:vAlign w:val="bottom"/>
            <w:shd w:val="clear" w:color="auto" w:fill="E5E6E6"/>
          </w:tcPr>
          <w:p>
            <w:pPr>
              <w:jc w:val="right"/>
              <w:ind w:right="28"/>
              <w:spacing w:after="0"/>
              <w:rPr>
                <w:sz w:val="20"/>
                <w:szCs w:val="20"/>
                <w:color w:val="auto"/>
              </w:rPr>
            </w:pPr>
            <w:r>
              <w:rPr>
                <w:rFonts w:ascii="Arial" w:cs="Arial" w:eastAsia="Arial" w:hAnsi="Arial"/>
                <w:sz w:val="14"/>
                <w:szCs w:val="14"/>
                <w:color w:val="auto"/>
              </w:rPr>
              <w:t>360,242</w:t>
            </w:r>
          </w:p>
        </w:tc>
        <w:tc>
          <w:tcPr>
            <w:tcW w:w="0" w:type="dxa"/>
            <w:vAlign w:val="bottom"/>
          </w:tcPr>
          <w:p>
            <w:pPr>
              <w:spacing w:after="0"/>
              <w:rPr>
                <w:sz w:val="1"/>
                <w:szCs w:val="1"/>
                <w:color w:val="auto"/>
              </w:rPr>
            </w:pPr>
          </w:p>
        </w:tc>
      </w:tr>
      <w:tr>
        <w:trPr>
          <w:trHeight w:val="189"/>
        </w:trPr>
        <w:tc>
          <w:tcPr>
            <w:tcW w:w="3620" w:type="dxa"/>
            <w:vAlign w:val="bottom"/>
          </w:tcPr>
          <w:p>
            <w:pPr>
              <w:ind w:left="100"/>
              <w:spacing w:after="0"/>
              <w:rPr>
                <w:sz w:val="20"/>
                <w:szCs w:val="20"/>
                <w:color w:val="auto"/>
              </w:rPr>
            </w:pPr>
            <w:r>
              <w:rPr>
                <w:rFonts w:ascii="Arial" w:cs="Arial" w:eastAsia="Arial" w:hAnsi="Arial"/>
                <w:sz w:val="14"/>
                <w:szCs w:val="14"/>
                <w:color w:val="auto"/>
              </w:rPr>
              <w:t>Richard W. Bradshaw</w:t>
            </w:r>
          </w:p>
        </w:tc>
        <w:tc>
          <w:tcPr>
            <w:tcW w:w="3900" w:type="dxa"/>
            <w:vAlign w:val="bottom"/>
          </w:tcPr>
          <w:p>
            <w:pPr>
              <w:jc w:val="center"/>
              <w:ind w:left="1848"/>
              <w:spacing w:after="0"/>
              <w:rPr>
                <w:sz w:val="20"/>
                <w:szCs w:val="20"/>
                <w:color w:val="auto"/>
              </w:rPr>
            </w:pPr>
            <w:r>
              <w:rPr>
                <w:rFonts w:ascii="Arial" w:cs="Arial" w:eastAsia="Arial" w:hAnsi="Arial"/>
                <w:sz w:val="14"/>
                <w:szCs w:val="14"/>
                <w:color w:val="auto"/>
              </w:rPr>
              <w:t>Modified Retirement Plan</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748,562</w:t>
            </w:r>
          </w:p>
        </w:tc>
        <w:tc>
          <w:tcPr>
            <w:tcW w:w="0" w:type="dxa"/>
            <w:vAlign w:val="bottom"/>
          </w:tcPr>
          <w:p>
            <w:pPr>
              <w:spacing w:after="0"/>
              <w:rPr>
                <w:sz w:val="1"/>
                <w:szCs w:val="1"/>
                <w:color w:val="auto"/>
              </w:rPr>
            </w:pPr>
          </w:p>
        </w:tc>
      </w:tr>
      <w:tr>
        <w:trPr>
          <w:trHeight w:val="189"/>
        </w:trPr>
        <w:tc>
          <w:tcPr>
            <w:tcW w:w="3620" w:type="dxa"/>
            <w:vAlign w:val="bottom"/>
            <w:shd w:val="clear" w:color="auto" w:fill="E5E6E6"/>
          </w:tcPr>
          <w:p>
            <w:pPr>
              <w:ind w:left="100"/>
              <w:spacing w:after="0"/>
              <w:rPr>
                <w:sz w:val="20"/>
                <w:szCs w:val="20"/>
                <w:color w:val="auto"/>
              </w:rPr>
            </w:pPr>
            <w:r>
              <w:rPr>
                <w:rFonts w:ascii="Arial" w:cs="Arial" w:eastAsia="Arial" w:hAnsi="Arial"/>
                <w:sz w:val="14"/>
                <w:szCs w:val="14"/>
                <w:color w:val="auto"/>
              </w:rPr>
              <w:t>Robert A. Edwards</w:t>
            </w:r>
          </w:p>
        </w:tc>
        <w:tc>
          <w:tcPr>
            <w:tcW w:w="3900" w:type="dxa"/>
            <w:vAlign w:val="bottom"/>
            <w:shd w:val="clear" w:color="auto" w:fill="E5E6E6"/>
          </w:tcPr>
          <w:p>
            <w:pPr>
              <w:jc w:val="center"/>
              <w:ind w:left="1848"/>
              <w:spacing w:after="0"/>
              <w:rPr>
                <w:sz w:val="20"/>
                <w:szCs w:val="20"/>
                <w:color w:val="auto"/>
              </w:rPr>
            </w:pPr>
            <w:r>
              <w:rPr>
                <w:rFonts w:ascii="Arial" w:cs="Arial" w:eastAsia="Arial" w:hAnsi="Arial"/>
                <w:sz w:val="14"/>
                <w:szCs w:val="14"/>
                <w:color w:val="auto"/>
              </w:rPr>
              <w:t>Modified Retirement Plan</w:t>
            </w:r>
          </w:p>
        </w:tc>
        <w:tc>
          <w:tcPr>
            <w:tcW w:w="1960" w:type="dxa"/>
            <w:vAlign w:val="bottom"/>
            <w:shd w:val="clear" w:color="auto" w:fill="E5E6E6"/>
          </w:tcPr>
          <w:p>
            <w:pPr>
              <w:jc w:val="right"/>
              <w:ind w:right="48"/>
              <w:spacing w:after="0"/>
              <w:rPr>
                <w:sz w:val="20"/>
                <w:szCs w:val="20"/>
                <w:color w:val="auto"/>
              </w:rPr>
            </w:pPr>
            <w:r>
              <w:rPr>
                <w:rFonts w:ascii="Arial" w:cs="Arial" w:eastAsia="Arial" w:hAnsi="Arial"/>
                <w:sz w:val="14"/>
                <w:szCs w:val="14"/>
                <w:color w:val="auto"/>
              </w:rPr>
              <w:t>5.9</w:t>
            </w:r>
          </w:p>
        </w:tc>
        <w:tc>
          <w:tcPr>
            <w:tcW w:w="1760" w:type="dxa"/>
            <w:vAlign w:val="bottom"/>
            <w:shd w:val="clear" w:color="auto" w:fill="E5E6E6"/>
          </w:tcPr>
          <w:p>
            <w:pPr>
              <w:jc w:val="right"/>
              <w:ind w:right="28"/>
              <w:spacing w:after="0"/>
              <w:rPr>
                <w:sz w:val="20"/>
                <w:szCs w:val="20"/>
                <w:color w:val="auto"/>
              </w:rPr>
            </w:pPr>
            <w:r>
              <w:rPr>
                <w:rFonts w:ascii="Arial" w:cs="Arial" w:eastAsia="Arial" w:hAnsi="Arial"/>
                <w:sz w:val="14"/>
                <w:szCs w:val="14"/>
                <w:color w:val="auto"/>
              </w:rPr>
              <w:t>543,382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E5E6E6"/>
            </w:tcBorders>
          </w:tcPr>
          <w:p>
            <w:pPr>
              <w:ind w:left="100"/>
              <w:spacing w:after="0"/>
              <w:rPr>
                <w:sz w:val="20"/>
                <w:szCs w:val="20"/>
                <w:color w:val="auto"/>
              </w:rPr>
            </w:pPr>
            <w:r>
              <w:rPr>
                <w:rFonts w:ascii="Arial" w:cs="Arial" w:eastAsia="Arial" w:hAnsi="Arial"/>
                <w:sz w:val="14"/>
                <w:szCs w:val="14"/>
                <w:color w:val="auto"/>
              </w:rPr>
              <w:t>Melinda Davis Lux</w:t>
            </w:r>
          </w:p>
        </w:tc>
        <w:tc>
          <w:tcPr>
            <w:tcW w:w="3900" w:type="dxa"/>
            <w:vAlign w:val="bottom"/>
            <w:tcBorders>
              <w:bottom w:val="single" w:sz="8" w:color="E5E6E6"/>
            </w:tcBorders>
          </w:tcPr>
          <w:p>
            <w:pPr>
              <w:jc w:val="center"/>
              <w:ind w:left="1848"/>
              <w:spacing w:after="0"/>
              <w:rPr>
                <w:sz w:val="20"/>
                <w:szCs w:val="20"/>
                <w:color w:val="auto"/>
              </w:rPr>
            </w:pPr>
            <w:r>
              <w:rPr>
                <w:rFonts w:ascii="Arial" w:cs="Arial" w:eastAsia="Arial" w:hAnsi="Arial"/>
                <w:sz w:val="14"/>
                <w:szCs w:val="14"/>
                <w:color w:val="auto"/>
              </w:rPr>
              <w:t>Modified Retirement Plan</w:t>
            </w:r>
          </w:p>
        </w:tc>
        <w:tc>
          <w:tcPr>
            <w:tcW w:w="1960" w:type="dxa"/>
            <w:vAlign w:val="bottom"/>
            <w:tcBorders>
              <w:bottom w:val="single" w:sz="8" w:color="E5E6E6"/>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E5E6E6"/>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See Compensation Discussion and Analysis: 2020 Executive Compensation Components: Retirement and Other Benefits for additional information. See Note 20 of our annual consolidated financial statements included in our Annual Report on Form 10-K for the year ended December 31, 2020, filed with the SEC on February 25, 2021 for information regarding assumptions made in the valuation of these awards. Under the Modified Retirement Plan, any participant, including any of our NEOs, is vested at age 55 if they have five years of service.</w:t>
      </w:r>
    </w:p>
    <w:p>
      <w:pPr>
        <w:spacing w:after="0" w:line="191" w:lineRule="exact"/>
        <w:rPr>
          <w:sz w:val="20"/>
          <w:szCs w:val="20"/>
          <w:color w:val="auto"/>
        </w:rPr>
      </w:pPr>
    </w:p>
    <w:p>
      <w:pPr>
        <w:jc w:val="both"/>
        <w:ind w:right="360"/>
        <w:spacing w:after="0" w:line="246" w:lineRule="auto"/>
        <w:rPr>
          <w:sz w:val="20"/>
          <w:szCs w:val="20"/>
          <w:color w:val="auto"/>
        </w:rPr>
      </w:pPr>
      <w:r>
        <w:rPr>
          <w:rFonts w:ascii="Arial" w:cs="Arial" w:eastAsia="Arial" w:hAnsi="Arial"/>
          <w:sz w:val="18"/>
          <w:szCs w:val="18"/>
          <w:color w:val="auto"/>
        </w:rPr>
        <w:t>Beginning in 2020, the Board determined that it will not offer participation in the Modified Retirement Plan to any employee of United who was not already a participant. As a result, Ms. Davis Lux was not offered participation in the Modified Retirement Plan upon employment.</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Upon a change in control prior to a participant’s termination of employment, a participant immediately vests in no less than (i) the participant’s annual target benefit if the participant has attained Normal Retirement Age (as defined by the Modified Retirement Plan) or (ii) the greater of the participant’s Early Retirement Benefit, if applicable, or his Accrued Benefit (as defined by the Modified Retirement Plan, without any reduction for commencement of the payments before Normal Retirement Age), if the participant has not attained Normal Retirement Age but has qualified for an Early Retirement Benefit, if applicable or (iii) his Accrued Benefit (notwithstanding the Years of Service, as defined by the Modified Retirement Plan, at such time or whether the participant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9" w:name="page50"/>
    <w:bookmarkEnd w:id="49"/>
    <w:p>
      <w:pPr>
        <w:ind w:right="340"/>
        <w:spacing w:after="0" w:line="238" w:lineRule="auto"/>
        <w:rPr>
          <w:sz w:val="20"/>
          <w:szCs w:val="20"/>
          <w:color w:val="auto"/>
        </w:rPr>
      </w:pPr>
      <w:r>
        <w:rPr>
          <w:rFonts w:ascii="Arial" w:cs="Arial" w:eastAsia="Arial" w:hAnsi="Arial"/>
          <w:sz w:val="18"/>
          <w:szCs w:val="18"/>
          <w:color w:val="auto"/>
        </w:rPr>
        <w:t>has incurred a disability). Benefits are payable as provided in the Modified Retirement Plan. The change-in-control benefit, however, is increased to the extent the participant continues employment and accrues additional benefits after the change in control. A participant’s change-in-control benefit is not reduced for any calendar year or partial calendar year that the commencement of the change-in-control benefit precedes the participant’s Normal Retirement Age. The change-in-control benefit is payable in the form of a life annuity unless the participant has elected an alternative payment method.</w:t>
      </w:r>
    </w:p>
    <w:p>
      <w:pPr>
        <w:spacing w:after="0" w:line="154"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Nonqualified Deferred Compensation</w:t>
      </w:r>
    </w:p>
    <w:p>
      <w:pPr>
        <w:spacing w:after="0" w:line="23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presents select nonqualified deferred compensation information for 2020 for each NEO. Columns have been omitted from this table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91440</wp:posOffset>
            </wp:positionV>
            <wp:extent cx="17145" cy="2743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 cy="27432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91440</wp:posOffset>
            </wp:positionV>
            <wp:extent cx="17145" cy="274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145" cy="27432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91440</wp:posOffset>
            </wp:positionV>
            <wp:extent cx="17145" cy="274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145" cy="27432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91440</wp:posOffset>
            </wp:positionV>
            <wp:extent cx="17145" cy="274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 cy="27432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vMerge w:val="restart"/>
            <w:shd w:val="clear" w:color="auto" w:fill="1077A9"/>
          </w:tcPr>
          <w:p>
            <w:pPr>
              <w:ind w:left="140"/>
              <w:spacing w:after="0"/>
              <w:rPr>
                <w:sz w:val="20"/>
                <w:szCs w:val="20"/>
                <w:color w:val="auto"/>
              </w:rPr>
            </w:pPr>
            <w:r>
              <w:rPr>
                <w:rFonts w:ascii="Arial" w:cs="Arial" w:eastAsia="Arial" w:hAnsi="Arial"/>
                <w:sz w:val="14"/>
                <w:szCs w:val="14"/>
                <w:color w:val="FFFFFF"/>
              </w:rPr>
              <w:t>Name</w:t>
            </w:r>
          </w:p>
        </w:tc>
        <w:tc>
          <w:tcPr>
            <w:tcW w:w="2580" w:type="dxa"/>
            <w:vAlign w:val="bottom"/>
            <w:shd w:val="clear" w:color="auto" w:fill="1077A9"/>
          </w:tcPr>
          <w:p>
            <w:pPr>
              <w:jc w:val="right"/>
              <w:ind w:right="28"/>
              <w:spacing w:after="0"/>
              <w:rPr>
                <w:sz w:val="20"/>
                <w:szCs w:val="20"/>
                <w:color w:val="auto"/>
              </w:rPr>
            </w:pPr>
            <w:r>
              <w:rPr>
                <w:rFonts w:ascii="Arial" w:cs="Arial" w:eastAsia="Arial" w:hAnsi="Arial"/>
                <w:sz w:val="14"/>
                <w:szCs w:val="14"/>
                <w:color w:val="FFFFFF"/>
              </w:rPr>
              <w:t>Executive Contributions in</w:t>
            </w:r>
          </w:p>
        </w:tc>
        <w:tc>
          <w:tcPr>
            <w:tcW w:w="1900" w:type="dxa"/>
            <w:vAlign w:val="bottom"/>
            <w:shd w:val="clear" w:color="auto" w:fill="1077A9"/>
          </w:tcPr>
          <w:p>
            <w:pPr>
              <w:jc w:val="right"/>
              <w:ind w:right="68"/>
              <w:spacing w:after="0"/>
              <w:rPr>
                <w:sz w:val="20"/>
                <w:szCs w:val="20"/>
                <w:color w:val="auto"/>
              </w:rPr>
            </w:pPr>
            <w:r>
              <w:rPr>
                <w:rFonts w:ascii="Arial" w:cs="Arial" w:eastAsia="Arial" w:hAnsi="Arial"/>
                <w:sz w:val="14"/>
                <w:szCs w:val="14"/>
                <w:color w:val="FFFFFF"/>
              </w:rPr>
              <w:t>Company Contributions in</w:t>
            </w:r>
          </w:p>
        </w:tc>
        <w:tc>
          <w:tcPr>
            <w:tcW w:w="2100" w:type="dxa"/>
            <w:vAlign w:val="bottom"/>
            <w:vMerge w:val="restart"/>
            <w:shd w:val="clear" w:color="auto" w:fill="1077A9"/>
          </w:tcPr>
          <w:p>
            <w:pPr>
              <w:jc w:val="right"/>
              <w:ind w:right="28"/>
              <w:spacing w:after="0"/>
              <w:rPr>
                <w:sz w:val="20"/>
                <w:szCs w:val="20"/>
                <w:color w:val="auto"/>
              </w:rPr>
            </w:pPr>
            <w:r>
              <w:rPr>
                <w:rFonts w:ascii="Arial" w:cs="Arial" w:eastAsia="Arial" w:hAnsi="Arial"/>
                <w:sz w:val="14"/>
                <w:szCs w:val="14"/>
                <w:color w:val="FFFFFF"/>
              </w:rPr>
              <w:t>Account Earnings in 2020 ($)</w:t>
            </w:r>
          </w:p>
        </w:tc>
        <w:tc>
          <w:tcPr>
            <w:tcW w:w="2280" w:type="dxa"/>
            <w:vAlign w:val="bottom"/>
            <w:shd w:val="clear" w:color="auto" w:fill="1077A9"/>
          </w:tcPr>
          <w:p>
            <w:pPr>
              <w:jc w:val="right"/>
              <w:ind w:right="8"/>
              <w:spacing w:after="0"/>
              <w:rPr>
                <w:sz w:val="20"/>
                <w:szCs w:val="20"/>
                <w:color w:val="auto"/>
              </w:rPr>
            </w:pPr>
            <w:r>
              <w:rPr>
                <w:rFonts w:ascii="Arial" w:cs="Arial" w:eastAsia="Arial" w:hAnsi="Arial"/>
                <w:sz w:val="14"/>
                <w:szCs w:val="14"/>
                <w:color w:val="FFFFFF"/>
              </w:rPr>
              <w:t>Aggregate Balance at December</w:t>
            </w:r>
          </w:p>
        </w:tc>
        <w:tc>
          <w:tcPr>
            <w:tcW w:w="0" w:type="dxa"/>
            <w:vAlign w:val="bottom"/>
          </w:tcPr>
          <w:p>
            <w:pPr>
              <w:spacing w:after="0"/>
              <w:rPr>
                <w:sz w:val="1"/>
                <w:szCs w:val="1"/>
                <w:color w:val="auto"/>
              </w:rPr>
            </w:pPr>
          </w:p>
        </w:tc>
      </w:tr>
      <w:tr>
        <w:trPr>
          <w:trHeight w:val="110"/>
        </w:trPr>
        <w:tc>
          <w:tcPr>
            <w:tcW w:w="2380" w:type="dxa"/>
            <w:vAlign w:val="bottom"/>
            <w:vMerge w:val="continue"/>
            <w:shd w:val="clear" w:color="auto" w:fill="1077A9"/>
          </w:tcPr>
          <w:p>
            <w:pPr>
              <w:spacing w:after="0"/>
              <w:rPr>
                <w:sz w:val="9"/>
                <w:szCs w:val="9"/>
                <w:color w:val="auto"/>
              </w:rPr>
            </w:pPr>
          </w:p>
        </w:tc>
        <w:tc>
          <w:tcPr>
            <w:tcW w:w="2580" w:type="dxa"/>
            <w:vAlign w:val="bottom"/>
            <w:vMerge w:val="restart"/>
            <w:shd w:val="clear" w:color="auto" w:fill="1077A9"/>
          </w:tcPr>
          <w:p>
            <w:pPr>
              <w:jc w:val="right"/>
              <w:ind w:right="528"/>
              <w:spacing w:after="0" w:line="230" w:lineRule="exact"/>
              <w:rPr>
                <w:sz w:val="20"/>
                <w:szCs w:val="20"/>
                <w:color w:val="auto"/>
              </w:rPr>
            </w:pPr>
            <w:r>
              <w:rPr>
                <w:rFonts w:ascii="Arial" w:cs="Arial" w:eastAsia="Arial" w:hAnsi="Arial"/>
                <w:sz w:val="14"/>
                <w:szCs w:val="14"/>
                <w:color w:val="FFFFFF"/>
              </w:rPr>
              <w:t>2020 ($)</w:t>
            </w:r>
            <w:r>
              <w:rPr>
                <w:rFonts w:ascii="Arial" w:cs="Arial" w:eastAsia="Arial" w:hAnsi="Arial"/>
                <w:sz w:val="23"/>
                <w:szCs w:val="23"/>
                <w:color w:val="FFFFFF"/>
                <w:vertAlign w:val="superscript"/>
              </w:rPr>
              <w:t>1</w:t>
            </w:r>
          </w:p>
        </w:tc>
        <w:tc>
          <w:tcPr>
            <w:tcW w:w="1900" w:type="dxa"/>
            <w:vAlign w:val="bottom"/>
            <w:vMerge w:val="restart"/>
            <w:shd w:val="clear" w:color="auto" w:fill="1077A9"/>
          </w:tcPr>
          <w:p>
            <w:pPr>
              <w:jc w:val="right"/>
              <w:ind w:right="568"/>
              <w:spacing w:after="0" w:line="230" w:lineRule="exact"/>
              <w:rPr>
                <w:sz w:val="20"/>
                <w:szCs w:val="20"/>
                <w:color w:val="auto"/>
              </w:rPr>
            </w:pPr>
            <w:r>
              <w:rPr>
                <w:rFonts w:ascii="Arial" w:cs="Arial" w:eastAsia="Arial" w:hAnsi="Arial"/>
                <w:sz w:val="14"/>
                <w:szCs w:val="14"/>
                <w:color w:val="FFFFFF"/>
              </w:rPr>
              <w:t>2020 ($)</w:t>
            </w:r>
            <w:r>
              <w:rPr>
                <w:rFonts w:ascii="Arial" w:cs="Arial" w:eastAsia="Arial" w:hAnsi="Arial"/>
                <w:sz w:val="23"/>
                <w:szCs w:val="23"/>
                <w:color w:val="FFFFFF"/>
                <w:vertAlign w:val="superscript"/>
              </w:rPr>
              <w:t>2</w:t>
            </w:r>
          </w:p>
        </w:tc>
        <w:tc>
          <w:tcPr>
            <w:tcW w:w="2100" w:type="dxa"/>
            <w:vAlign w:val="bottom"/>
            <w:vMerge w:val="continue"/>
            <w:shd w:val="clear" w:color="auto" w:fill="1077A9"/>
          </w:tcPr>
          <w:p>
            <w:pPr>
              <w:spacing w:after="0"/>
              <w:rPr>
                <w:sz w:val="9"/>
                <w:szCs w:val="9"/>
                <w:color w:val="auto"/>
              </w:rPr>
            </w:pPr>
          </w:p>
        </w:tc>
        <w:tc>
          <w:tcPr>
            <w:tcW w:w="2280" w:type="dxa"/>
            <w:vAlign w:val="bottom"/>
            <w:vMerge w:val="restart"/>
            <w:shd w:val="clear" w:color="auto" w:fill="1077A9"/>
          </w:tcPr>
          <w:p>
            <w:pPr>
              <w:jc w:val="right"/>
              <w:ind w:right="648"/>
              <w:spacing w:after="0"/>
              <w:rPr>
                <w:sz w:val="20"/>
                <w:szCs w:val="20"/>
                <w:color w:val="auto"/>
              </w:rPr>
            </w:pPr>
            <w:r>
              <w:rPr>
                <w:rFonts w:ascii="Arial" w:cs="Arial" w:eastAsia="Arial" w:hAnsi="Arial"/>
                <w:sz w:val="14"/>
                <w:szCs w:val="14"/>
                <w:color w:val="FFFFFF"/>
              </w:rPr>
              <w:t>31, 2020 ($)</w:t>
            </w:r>
          </w:p>
        </w:tc>
        <w:tc>
          <w:tcPr>
            <w:tcW w:w="0" w:type="dxa"/>
            <w:vAlign w:val="bottom"/>
          </w:tcPr>
          <w:p>
            <w:pPr>
              <w:spacing w:after="0"/>
              <w:rPr>
                <w:sz w:val="1"/>
                <w:szCs w:val="1"/>
                <w:color w:val="auto"/>
              </w:rPr>
            </w:pPr>
          </w:p>
        </w:tc>
      </w:tr>
      <w:tr>
        <w:trPr>
          <w:trHeight w:val="120"/>
        </w:trPr>
        <w:tc>
          <w:tcPr>
            <w:tcW w:w="2380" w:type="dxa"/>
            <w:vAlign w:val="bottom"/>
            <w:shd w:val="clear" w:color="auto" w:fill="1077A9"/>
          </w:tcPr>
          <w:p>
            <w:pPr>
              <w:spacing w:after="0"/>
              <w:rPr>
                <w:sz w:val="10"/>
                <w:szCs w:val="10"/>
                <w:color w:val="auto"/>
              </w:rPr>
            </w:pPr>
          </w:p>
        </w:tc>
        <w:tc>
          <w:tcPr>
            <w:tcW w:w="2580" w:type="dxa"/>
            <w:vAlign w:val="bottom"/>
            <w:vMerge w:val="continue"/>
            <w:shd w:val="clear" w:color="auto" w:fill="1077A9"/>
          </w:tcPr>
          <w:p>
            <w:pPr>
              <w:spacing w:after="0"/>
              <w:rPr>
                <w:sz w:val="10"/>
                <w:szCs w:val="10"/>
                <w:color w:val="auto"/>
              </w:rPr>
            </w:pPr>
          </w:p>
        </w:tc>
        <w:tc>
          <w:tcPr>
            <w:tcW w:w="1900" w:type="dxa"/>
            <w:vAlign w:val="bottom"/>
            <w:vMerge w:val="continue"/>
            <w:shd w:val="clear" w:color="auto" w:fill="1077A9"/>
          </w:tcPr>
          <w:p>
            <w:pPr>
              <w:spacing w:after="0"/>
              <w:rPr>
                <w:sz w:val="10"/>
                <w:szCs w:val="10"/>
                <w:color w:val="auto"/>
              </w:rPr>
            </w:pPr>
          </w:p>
        </w:tc>
        <w:tc>
          <w:tcPr>
            <w:tcW w:w="2100" w:type="dxa"/>
            <w:vAlign w:val="bottom"/>
            <w:shd w:val="clear" w:color="auto" w:fill="1077A9"/>
          </w:tcPr>
          <w:p>
            <w:pPr>
              <w:spacing w:after="0"/>
              <w:rPr>
                <w:sz w:val="10"/>
                <w:szCs w:val="10"/>
                <w:color w:val="auto"/>
              </w:rPr>
            </w:pPr>
          </w:p>
        </w:tc>
        <w:tc>
          <w:tcPr>
            <w:tcW w:w="2280" w:type="dxa"/>
            <w:vAlign w:val="bottom"/>
            <w:vMerge w:val="continue"/>
            <w:shd w:val="clear" w:color="auto" w:fill="1077A9"/>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140"/>
              <w:spacing w:after="0"/>
              <w:rPr>
                <w:sz w:val="20"/>
                <w:szCs w:val="20"/>
                <w:color w:val="auto"/>
              </w:rPr>
            </w:pPr>
            <w:r>
              <w:rPr>
                <w:rFonts w:ascii="Arial" w:cs="Arial" w:eastAsia="Arial" w:hAnsi="Arial"/>
                <w:sz w:val="14"/>
                <w:szCs w:val="14"/>
                <w:color w:val="auto"/>
              </w:rPr>
              <w:t>H. Lynn Harton</w:t>
            </w:r>
          </w:p>
        </w:tc>
        <w:tc>
          <w:tcPr>
            <w:tcW w:w="2580" w:type="dxa"/>
            <w:vAlign w:val="bottom"/>
          </w:tcPr>
          <w:p>
            <w:pPr>
              <w:jc w:val="right"/>
              <w:ind w:right="288"/>
              <w:spacing w:after="0"/>
              <w:rPr>
                <w:sz w:val="20"/>
                <w:szCs w:val="20"/>
                <w:color w:val="auto"/>
              </w:rPr>
            </w:pPr>
            <w:r>
              <w:rPr>
                <w:rFonts w:ascii="Arial" w:cs="Arial" w:eastAsia="Arial" w:hAnsi="Arial"/>
                <w:sz w:val="14"/>
                <w:szCs w:val="14"/>
                <w:color w:val="auto"/>
              </w:rPr>
              <w:t>$ 12,750</w:t>
            </w:r>
          </w:p>
        </w:tc>
        <w:tc>
          <w:tcPr>
            <w:tcW w:w="1900" w:type="dxa"/>
            <w:vAlign w:val="bottom"/>
          </w:tcPr>
          <w:p>
            <w:pPr>
              <w:jc w:val="right"/>
              <w:ind w:right="288"/>
              <w:spacing w:after="0"/>
              <w:rPr>
                <w:sz w:val="20"/>
                <w:szCs w:val="20"/>
                <w:color w:val="auto"/>
              </w:rPr>
            </w:pPr>
            <w:r>
              <w:rPr>
                <w:rFonts w:ascii="Arial" w:cs="Arial" w:eastAsia="Arial" w:hAnsi="Arial"/>
                <w:sz w:val="14"/>
                <w:szCs w:val="14"/>
                <w:color w:val="auto"/>
              </w:rPr>
              <w:t>$ 24,500</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 (74,120)</w:t>
            </w:r>
          </w:p>
        </w:tc>
        <w:tc>
          <w:tcPr>
            <w:tcW w:w="2280" w:type="dxa"/>
            <w:vAlign w:val="bottom"/>
          </w:tcPr>
          <w:p>
            <w:pPr>
              <w:jc w:val="right"/>
              <w:ind w:right="288"/>
              <w:spacing w:after="0"/>
              <w:rPr>
                <w:sz w:val="20"/>
                <w:szCs w:val="20"/>
                <w:color w:val="auto"/>
              </w:rPr>
            </w:pPr>
            <w:r>
              <w:rPr>
                <w:rFonts w:ascii="Arial" w:cs="Arial" w:eastAsia="Arial" w:hAnsi="Arial"/>
                <w:sz w:val="14"/>
                <w:szCs w:val="14"/>
                <w:color w:val="auto"/>
              </w:rPr>
              <w:t>$ 1,975,029</w:t>
            </w:r>
          </w:p>
        </w:tc>
        <w:tc>
          <w:tcPr>
            <w:tcW w:w="0" w:type="dxa"/>
            <w:vAlign w:val="bottom"/>
          </w:tcPr>
          <w:p>
            <w:pPr>
              <w:spacing w:after="0"/>
              <w:rPr>
                <w:sz w:val="1"/>
                <w:szCs w:val="1"/>
                <w:color w:val="auto"/>
              </w:rPr>
            </w:pPr>
          </w:p>
        </w:tc>
      </w:tr>
      <w:tr>
        <w:trPr>
          <w:trHeight w:val="189"/>
        </w:trPr>
        <w:tc>
          <w:tcPr>
            <w:tcW w:w="2380" w:type="dxa"/>
            <w:vAlign w:val="bottom"/>
            <w:shd w:val="clear" w:color="auto" w:fill="E5E6E6"/>
          </w:tcPr>
          <w:p>
            <w:pPr>
              <w:ind w:left="140"/>
              <w:spacing w:after="0"/>
              <w:rPr>
                <w:sz w:val="20"/>
                <w:szCs w:val="20"/>
                <w:color w:val="auto"/>
              </w:rPr>
            </w:pPr>
            <w:r>
              <w:rPr>
                <w:rFonts w:ascii="Arial" w:cs="Arial" w:eastAsia="Arial" w:hAnsi="Arial"/>
                <w:sz w:val="14"/>
                <w:szCs w:val="14"/>
                <w:color w:val="auto"/>
              </w:rPr>
              <w:t>Jefferson L. Harralson</w:t>
            </w:r>
          </w:p>
        </w:tc>
        <w:tc>
          <w:tcPr>
            <w:tcW w:w="25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6,750</w:t>
            </w:r>
          </w:p>
        </w:tc>
        <w:tc>
          <w:tcPr>
            <w:tcW w:w="210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14</w:t>
            </w:r>
          </w:p>
        </w:tc>
        <w:tc>
          <w:tcPr>
            <w:tcW w:w="22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19,201</w:t>
            </w:r>
          </w:p>
        </w:tc>
        <w:tc>
          <w:tcPr>
            <w:tcW w:w="0" w:type="dxa"/>
            <w:vAlign w:val="bottom"/>
          </w:tcPr>
          <w:p>
            <w:pPr>
              <w:spacing w:after="0"/>
              <w:rPr>
                <w:sz w:val="1"/>
                <w:szCs w:val="1"/>
                <w:color w:val="auto"/>
              </w:rPr>
            </w:pPr>
          </w:p>
        </w:tc>
      </w:tr>
      <w:tr>
        <w:trPr>
          <w:trHeight w:val="189"/>
        </w:trPr>
        <w:tc>
          <w:tcPr>
            <w:tcW w:w="2380" w:type="dxa"/>
            <w:vAlign w:val="bottom"/>
          </w:tcPr>
          <w:p>
            <w:pPr>
              <w:ind w:left="140"/>
              <w:spacing w:after="0"/>
              <w:rPr>
                <w:sz w:val="20"/>
                <w:szCs w:val="20"/>
                <w:color w:val="auto"/>
              </w:rPr>
            </w:pPr>
            <w:r>
              <w:rPr>
                <w:rFonts w:ascii="Arial" w:cs="Arial" w:eastAsia="Arial" w:hAnsi="Arial"/>
                <w:sz w:val="14"/>
                <w:szCs w:val="14"/>
                <w:color w:val="auto"/>
              </w:rPr>
              <w:t>Richard W. Bradshaw</w:t>
            </w:r>
          </w:p>
        </w:tc>
        <w:tc>
          <w:tcPr>
            <w:tcW w:w="2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288"/>
              <w:spacing w:after="0"/>
              <w:rPr>
                <w:sz w:val="20"/>
                <w:szCs w:val="20"/>
                <w:color w:val="auto"/>
              </w:rPr>
            </w:pPr>
            <w:r>
              <w:rPr>
                <w:rFonts w:ascii="Arial" w:cs="Arial" w:eastAsia="Arial" w:hAnsi="Arial"/>
                <w:sz w:val="14"/>
                <w:szCs w:val="14"/>
                <w:color w:val="auto"/>
              </w:rPr>
              <w:t>5,000</w:t>
            </w:r>
          </w:p>
        </w:tc>
        <w:tc>
          <w:tcPr>
            <w:tcW w:w="2100" w:type="dxa"/>
            <w:vAlign w:val="bottom"/>
          </w:tcPr>
          <w:p>
            <w:pPr>
              <w:jc w:val="right"/>
              <w:ind w:right="248"/>
              <w:spacing w:after="0"/>
              <w:rPr>
                <w:sz w:val="20"/>
                <w:szCs w:val="20"/>
                <w:color w:val="auto"/>
              </w:rPr>
            </w:pPr>
            <w:r>
              <w:rPr>
                <w:rFonts w:ascii="Arial" w:cs="Arial" w:eastAsia="Arial" w:hAnsi="Arial"/>
                <w:sz w:val="14"/>
                <w:szCs w:val="14"/>
                <w:color w:val="auto"/>
              </w:rPr>
              <w:t>(1,646)</w:t>
            </w:r>
          </w:p>
        </w:tc>
        <w:tc>
          <w:tcPr>
            <w:tcW w:w="2280" w:type="dxa"/>
            <w:vAlign w:val="bottom"/>
          </w:tcPr>
          <w:p>
            <w:pPr>
              <w:jc w:val="right"/>
              <w:ind w:right="288"/>
              <w:spacing w:after="0"/>
              <w:rPr>
                <w:sz w:val="20"/>
                <w:szCs w:val="20"/>
                <w:color w:val="auto"/>
              </w:rPr>
            </w:pPr>
            <w:r>
              <w:rPr>
                <w:rFonts w:ascii="Arial" w:cs="Arial" w:eastAsia="Arial" w:hAnsi="Arial"/>
                <w:sz w:val="14"/>
                <w:szCs w:val="14"/>
                <w:color w:val="auto"/>
              </w:rPr>
              <w:t>296,746</w:t>
            </w:r>
          </w:p>
        </w:tc>
        <w:tc>
          <w:tcPr>
            <w:tcW w:w="0" w:type="dxa"/>
            <w:vAlign w:val="bottom"/>
          </w:tcPr>
          <w:p>
            <w:pPr>
              <w:spacing w:after="0"/>
              <w:rPr>
                <w:sz w:val="1"/>
                <w:szCs w:val="1"/>
                <w:color w:val="auto"/>
              </w:rPr>
            </w:pPr>
          </w:p>
        </w:tc>
      </w:tr>
      <w:tr>
        <w:trPr>
          <w:trHeight w:val="189"/>
        </w:trPr>
        <w:tc>
          <w:tcPr>
            <w:tcW w:w="2380" w:type="dxa"/>
            <w:vAlign w:val="bottom"/>
            <w:shd w:val="clear" w:color="auto" w:fill="E5E6E6"/>
          </w:tcPr>
          <w:p>
            <w:pPr>
              <w:ind w:left="140"/>
              <w:spacing w:after="0"/>
              <w:rPr>
                <w:sz w:val="20"/>
                <w:szCs w:val="20"/>
                <w:color w:val="auto"/>
              </w:rPr>
            </w:pPr>
            <w:r>
              <w:rPr>
                <w:rFonts w:ascii="Arial" w:cs="Arial" w:eastAsia="Arial" w:hAnsi="Arial"/>
                <w:sz w:val="14"/>
                <w:szCs w:val="14"/>
                <w:color w:val="auto"/>
              </w:rPr>
              <w:t>Robert A. Edwards</w:t>
            </w:r>
          </w:p>
        </w:tc>
        <w:tc>
          <w:tcPr>
            <w:tcW w:w="25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5,000</w:t>
            </w:r>
          </w:p>
        </w:tc>
        <w:tc>
          <w:tcPr>
            <w:tcW w:w="210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4,968</w:t>
            </w:r>
          </w:p>
        </w:tc>
        <w:tc>
          <w:tcPr>
            <w:tcW w:w="22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53,851</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E5E6E6"/>
            </w:tcBorders>
          </w:tcPr>
          <w:p>
            <w:pPr>
              <w:ind w:left="140"/>
              <w:spacing w:after="0"/>
              <w:rPr>
                <w:sz w:val="20"/>
                <w:szCs w:val="20"/>
                <w:color w:val="auto"/>
              </w:rPr>
            </w:pPr>
            <w:r>
              <w:rPr>
                <w:rFonts w:ascii="Arial" w:cs="Arial" w:eastAsia="Arial" w:hAnsi="Arial"/>
                <w:sz w:val="14"/>
                <w:szCs w:val="14"/>
                <w:color w:val="auto"/>
              </w:rPr>
              <w:t>Melinda Davis Lux</w:t>
            </w:r>
          </w:p>
        </w:tc>
        <w:tc>
          <w:tcPr>
            <w:tcW w:w="2580" w:type="dxa"/>
            <w:vAlign w:val="bottom"/>
            <w:tcBorders>
              <w:bottom w:val="single" w:sz="8" w:color="E5E6E6"/>
            </w:tcBorders>
          </w:tcPr>
          <w:p>
            <w:pPr>
              <w:jc w:val="right"/>
              <w:ind w:right="2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E5E6E6"/>
            </w:tcBorders>
          </w:tcPr>
          <w:p>
            <w:pPr>
              <w:jc w:val="right"/>
              <w:ind w:right="28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E5E6E6"/>
            </w:tcBorders>
          </w:tcPr>
          <w:p>
            <w:pPr>
              <w:jc w:val="right"/>
              <w:ind w:right="328"/>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E5E6E6"/>
            </w:tcBorders>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hanging="112"/>
        <w:spacing w:after="0"/>
        <w:tabs>
          <w:tab w:leader="none" w:pos="12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Executive contributions, as applicable, include:</w:t>
      </w:r>
    </w:p>
    <w:p>
      <w:pPr>
        <w:ind w:left="320" w:hanging="191"/>
        <w:spacing w:after="0"/>
        <w:tabs>
          <w:tab w:leader="none" w:pos="320" w:val="left"/>
        </w:tabs>
        <w:numPr>
          <w:ilvl w:val="1"/>
          <w:numId w:val="64"/>
        </w:numPr>
        <w:rPr>
          <w:rFonts w:ascii="Arial" w:cs="Arial" w:eastAsia="Arial" w:hAnsi="Arial"/>
          <w:sz w:val="14"/>
          <w:szCs w:val="14"/>
          <w:color w:val="auto"/>
        </w:rPr>
      </w:pPr>
      <w:r>
        <w:rPr>
          <w:rFonts w:ascii="Arial" w:cs="Arial" w:eastAsia="Arial" w:hAnsi="Arial"/>
          <w:sz w:val="14"/>
          <w:szCs w:val="14"/>
          <w:color w:val="auto"/>
        </w:rPr>
        <w:t>401(k) Plan restoration contributions made by participants, which are not included in the Summary Compensation Table;</w:t>
      </w:r>
    </w:p>
    <w:p>
      <w:pPr>
        <w:spacing w:after="0" w:line="1" w:lineRule="exact"/>
        <w:rPr>
          <w:rFonts w:ascii="Arial" w:cs="Arial" w:eastAsia="Arial" w:hAnsi="Arial"/>
          <w:sz w:val="14"/>
          <w:szCs w:val="14"/>
          <w:color w:val="auto"/>
        </w:rPr>
      </w:pPr>
    </w:p>
    <w:p>
      <w:pPr>
        <w:ind w:left="320" w:right="280" w:hanging="191"/>
        <w:spacing w:after="0" w:line="241" w:lineRule="auto"/>
        <w:tabs>
          <w:tab w:leader="none" w:pos="320" w:val="left"/>
        </w:tabs>
        <w:numPr>
          <w:ilvl w:val="1"/>
          <w:numId w:val="64"/>
        </w:numPr>
        <w:rPr>
          <w:rFonts w:ascii="Arial" w:cs="Arial" w:eastAsia="Arial" w:hAnsi="Arial"/>
          <w:sz w:val="14"/>
          <w:szCs w:val="14"/>
          <w:color w:val="auto"/>
        </w:rPr>
      </w:pPr>
      <w:r>
        <w:rPr>
          <w:rFonts w:ascii="Arial" w:cs="Arial" w:eastAsia="Arial" w:hAnsi="Arial"/>
          <w:sz w:val="14"/>
          <w:szCs w:val="14"/>
          <w:color w:val="auto"/>
        </w:rPr>
        <w:t>Nonequity incentive compensation, which is included in the Summary Compensation Table in the year earned but contributed to the Deferred Compensation Plan in the year paid; and</w:t>
      </w:r>
    </w:p>
    <w:p>
      <w:pPr>
        <w:ind w:right="280" w:firstLine="129"/>
        <w:spacing w:after="0" w:line="277" w:lineRule="auto"/>
        <w:tabs>
          <w:tab w:leader="none" w:pos="310" w:val="left"/>
        </w:tabs>
        <w:numPr>
          <w:ilvl w:val="1"/>
          <w:numId w:val="64"/>
        </w:numPr>
        <w:rPr>
          <w:rFonts w:ascii="Arial" w:cs="Arial" w:eastAsia="Arial" w:hAnsi="Arial"/>
          <w:sz w:val="14"/>
          <w:szCs w:val="14"/>
          <w:color w:val="auto"/>
        </w:rPr>
      </w:pPr>
      <w:r>
        <w:rPr>
          <w:rFonts w:ascii="Arial" w:cs="Arial" w:eastAsia="Arial" w:hAnsi="Arial"/>
          <w:sz w:val="14"/>
          <w:szCs w:val="14"/>
          <w:color w:val="auto"/>
        </w:rPr>
        <w:t xml:space="preserve">Equity compensation, which is included in the Summary Compensation Table in the year granted but contributed to the Deferred Compensation Plan in the year vested. </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All Company contributions are included in the Summary Compensation Table under the column heading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2"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Under the Deferred Compensation Plan, upon a change in control, each participant’s account becomes fully vested but remains subject to the payment provisions and participant elections as to time and method of payment. This would impact each participant’s Company contribution account. The regular vesting schedule is as follows: (1) less than one year of service – 0%; (2) one but less than two years of service – 33%; (3) two but less than three years of service – 66% and (4) three or more years of service – 100%. See Compensation Discussion and Analysis: 2020 Executive Compensation Components: Retirement and Other Benefits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Potential Payouts Upon Termination or Change of Control</w:t>
      </w:r>
    </w:p>
    <w:p>
      <w:pPr>
        <w:spacing w:after="0" w:line="2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severance agreements with our NEOs and certain plans and programs in which those officers participate, in each case as in effect at the end of 2020, provide for benefits or payments upon certain employment termination or change-in-control events. We discuss these benefits and payments below except to the extent they are available generally to all salaried employees and do not discriminate in favor of our executive officers or to the extent already discussed previously under Pension Benefits and Nonqualified Deferred Compensation.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ind w:right="280"/>
        <w:spacing w:after="0" w:line="246" w:lineRule="auto"/>
        <w:rPr>
          <w:sz w:val="20"/>
          <w:szCs w:val="20"/>
          <w:color w:val="auto"/>
        </w:rPr>
      </w:pPr>
      <w:r>
        <w:rPr>
          <w:rFonts w:ascii="Arial" w:cs="Arial" w:eastAsia="Arial" w:hAnsi="Arial"/>
          <w:sz w:val="18"/>
          <w:szCs w:val="18"/>
          <w:color w:val="333333"/>
        </w:rPr>
        <w:t>The following table outlines the severance compensation payable to the NEOs, assuming separation from service on December 31, 2020, under various employment termination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116840</wp:posOffset>
            </wp:positionV>
            <wp:extent cx="17145" cy="6858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116840</wp:posOffset>
            </wp:positionV>
            <wp:extent cx="17145" cy="6858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116840</wp:posOffset>
            </wp:positionV>
            <wp:extent cx="17145" cy="6858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17145" cy="13030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 cy="130302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116840</wp:posOffset>
            </wp:positionV>
            <wp:extent cx="17145" cy="6858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 cy="68580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640" w:type="dxa"/>
            <w:vAlign w:val="bottom"/>
            <w:shd w:val="clear" w:color="auto" w:fill="1077A9"/>
          </w:tcPr>
          <w:p>
            <w:pPr>
              <w:spacing w:after="0"/>
              <w:rPr>
                <w:sz w:val="19"/>
                <w:szCs w:val="19"/>
                <w:color w:val="auto"/>
              </w:rPr>
            </w:pPr>
          </w:p>
        </w:tc>
        <w:tc>
          <w:tcPr>
            <w:tcW w:w="2180" w:type="dxa"/>
            <w:vAlign w:val="bottom"/>
            <w:shd w:val="clear" w:color="auto" w:fill="1077A9"/>
          </w:tcPr>
          <w:p>
            <w:pPr>
              <w:spacing w:after="0"/>
              <w:rPr>
                <w:sz w:val="19"/>
                <w:szCs w:val="19"/>
                <w:color w:val="auto"/>
              </w:rPr>
            </w:pPr>
          </w:p>
        </w:tc>
        <w:tc>
          <w:tcPr>
            <w:tcW w:w="2180" w:type="dxa"/>
            <w:vAlign w:val="bottom"/>
            <w:shd w:val="clear" w:color="auto" w:fill="1077A9"/>
          </w:tcPr>
          <w:p>
            <w:pPr>
              <w:jc w:val="center"/>
              <w:ind w:right="68"/>
              <w:spacing w:after="0"/>
              <w:rPr>
                <w:sz w:val="20"/>
                <w:szCs w:val="20"/>
                <w:color w:val="auto"/>
              </w:rPr>
            </w:pPr>
            <w:r>
              <w:rPr>
                <w:rFonts w:ascii="Arial" w:cs="Arial" w:eastAsia="Arial" w:hAnsi="Arial"/>
                <w:sz w:val="14"/>
                <w:szCs w:val="14"/>
                <w:color w:val="FFFFFF"/>
              </w:rPr>
              <w:t>Termination by United Without</w:t>
            </w:r>
          </w:p>
        </w:tc>
        <w:tc>
          <w:tcPr>
            <w:tcW w:w="2760" w:type="dxa"/>
            <w:vAlign w:val="bottom"/>
            <w:vMerge w:val="restart"/>
            <w:shd w:val="clear" w:color="auto" w:fill="1077A9"/>
          </w:tcPr>
          <w:p>
            <w:pPr>
              <w:jc w:val="center"/>
              <w:ind w:right="88"/>
              <w:spacing w:after="0"/>
              <w:rPr>
                <w:sz w:val="20"/>
                <w:szCs w:val="20"/>
                <w:color w:val="auto"/>
              </w:rPr>
            </w:pPr>
            <w:r>
              <w:rPr>
                <w:rFonts w:ascii="Arial" w:cs="Arial" w:eastAsia="Arial" w:hAnsi="Arial"/>
                <w:sz w:val="14"/>
                <w:szCs w:val="14"/>
                <w:color w:val="FFFFFF"/>
              </w:rPr>
              <w:t>Termination by United Without</w:t>
            </w:r>
          </w:p>
        </w:tc>
        <w:tc>
          <w:tcPr>
            <w:tcW w:w="2460" w:type="dxa"/>
            <w:vAlign w:val="bottom"/>
            <w:shd w:val="clear" w:color="auto" w:fill="1077A9"/>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40" w:type="dxa"/>
            <w:vAlign w:val="bottom"/>
            <w:shd w:val="clear" w:color="auto" w:fill="1077A9"/>
          </w:tcPr>
          <w:p>
            <w:pPr>
              <w:spacing w:after="0"/>
              <w:rPr>
                <w:sz w:val="7"/>
                <w:szCs w:val="7"/>
                <w:color w:val="auto"/>
              </w:rPr>
            </w:pPr>
          </w:p>
        </w:tc>
        <w:tc>
          <w:tcPr>
            <w:tcW w:w="2180" w:type="dxa"/>
            <w:vAlign w:val="bottom"/>
            <w:shd w:val="clear" w:color="auto" w:fill="1077A9"/>
          </w:tcPr>
          <w:p>
            <w:pPr>
              <w:spacing w:after="0"/>
              <w:rPr>
                <w:sz w:val="7"/>
                <w:szCs w:val="7"/>
                <w:color w:val="auto"/>
              </w:rPr>
            </w:pPr>
          </w:p>
        </w:tc>
        <w:tc>
          <w:tcPr>
            <w:tcW w:w="2180" w:type="dxa"/>
            <w:vAlign w:val="bottom"/>
            <w:vMerge w:val="restart"/>
            <w:shd w:val="clear" w:color="auto" w:fill="1077A9"/>
          </w:tcPr>
          <w:p>
            <w:pPr>
              <w:jc w:val="center"/>
              <w:ind w:right="68"/>
              <w:spacing w:after="0"/>
              <w:rPr>
                <w:sz w:val="20"/>
                <w:szCs w:val="20"/>
                <w:color w:val="auto"/>
              </w:rPr>
            </w:pPr>
            <w:r>
              <w:rPr>
                <w:rFonts w:ascii="Arial" w:cs="Arial" w:eastAsia="Arial" w:hAnsi="Arial"/>
                <w:sz w:val="14"/>
                <w:szCs w:val="14"/>
                <w:color w:val="FFFFFF"/>
              </w:rPr>
              <w:t>Cause or by Executive for</w:t>
            </w:r>
          </w:p>
        </w:tc>
        <w:tc>
          <w:tcPr>
            <w:tcW w:w="2760" w:type="dxa"/>
            <w:vAlign w:val="bottom"/>
            <w:vMerge w:val="continue"/>
            <w:shd w:val="clear" w:color="auto" w:fill="1077A9"/>
          </w:tcPr>
          <w:p>
            <w:pPr>
              <w:spacing w:after="0"/>
              <w:rPr>
                <w:sz w:val="7"/>
                <w:szCs w:val="7"/>
                <w:color w:val="auto"/>
              </w:rPr>
            </w:pPr>
          </w:p>
        </w:tc>
        <w:tc>
          <w:tcPr>
            <w:tcW w:w="2460" w:type="dxa"/>
            <w:vAlign w:val="bottom"/>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40" w:type="dxa"/>
            <w:vAlign w:val="bottom"/>
            <w:shd w:val="clear" w:color="auto" w:fill="1077A9"/>
          </w:tcPr>
          <w:p>
            <w:pPr>
              <w:spacing w:after="0"/>
              <w:rPr>
                <w:sz w:val="7"/>
                <w:szCs w:val="7"/>
                <w:color w:val="auto"/>
              </w:rPr>
            </w:pPr>
          </w:p>
        </w:tc>
        <w:tc>
          <w:tcPr>
            <w:tcW w:w="218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Termination by United for Cause</w:t>
            </w:r>
          </w:p>
        </w:tc>
        <w:tc>
          <w:tcPr>
            <w:tcW w:w="2180" w:type="dxa"/>
            <w:vAlign w:val="bottom"/>
            <w:vMerge w:val="continue"/>
            <w:shd w:val="clear" w:color="auto" w:fill="1077A9"/>
          </w:tcPr>
          <w:p>
            <w:pPr>
              <w:spacing w:after="0"/>
              <w:rPr>
                <w:sz w:val="7"/>
                <w:szCs w:val="7"/>
                <w:color w:val="auto"/>
              </w:rPr>
            </w:pPr>
          </w:p>
        </w:tc>
        <w:tc>
          <w:tcPr>
            <w:tcW w:w="2760" w:type="dxa"/>
            <w:vAlign w:val="bottom"/>
            <w:vMerge w:val="restart"/>
            <w:shd w:val="clear" w:color="auto" w:fill="1077A9"/>
          </w:tcPr>
          <w:p>
            <w:pPr>
              <w:jc w:val="center"/>
              <w:ind w:right="88"/>
              <w:spacing w:after="0"/>
              <w:rPr>
                <w:sz w:val="20"/>
                <w:szCs w:val="20"/>
                <w:color w:val="auto"/>
              </w:rPr>
            </w:pPr>
            <w:r>
              <w:rPr>
                <w:rFonts w:ascii="Arial" w:cs="Arial" w:eastAsia="Arial" w:hAnsi="Arial"/>
                <w:sz w:val="14"/>
                <w:szCs w:val="14"/>
                <w:color w:val="FFFFFF"/>
              </w:rPr>
              <w:t>Cause or by Executive for Good</w:t>
            </w:r>
          </w:p>
        </w:tc>
        <w:tc>
          <w:tcPr>
            <w:tcW w:w="2460" w:type="dxa"/>
            <w:vAlign w:val="bottom"/>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40" w:type="dxa"/>
            <w:vAlign w:val="bottom"/>
            <w:shd w:val="clear" w:color="auto" w:fill="1077A9"/>
          </w:tcPr>
          <w:p>
            <w:pPr>
              <w:spacing w:after="0"/>
              <w:rPr>
                <w:sz w:val="7"/>
                <w:szCs w:val="7"/>
                <w:color w:val="auto"/>
              </w:rPr>
            </w:pPr>
          </w:p>
        </w:tc>
        <w:tc>
          <w:tcPr>
            <w:tcW w:w="2180" w:type="dxa"/>
            <w:vAlign w:val="bottom"/>
            <w:vMerge w:val="continue"/>
            <w:shd w:val="clear" w:color="auto" w:fill="1077A9"/>
          </w:tcPr>
          <w:p>
            <w:pPr>
              <w:spacing w:after="0"/>
              <w:rPr>
                <w:sz w:val="7"/>
                <w:szCs w:val="7"/>
                <w:color w:val="auto"/>
              </w:rPr>
            </w:pPr>
          </w:p>
        </w:tc>
        <w:tc>
          <w:tcPr>
            <w:tcW w:w="2180" w:type="dxa"/>
            <w:vAlign w:val="bottom"/>
            <w:vMerge w:val="restart"/>
            <w:shd w:val="clear" w:color="auto" w:fill="1077A9"/>
          </w:tcPr>
          <w:p>
            <w:pPr>
              <w:jc w:val="center"/>
              <w:ind w:right="68"/>
              <w:spacing w:after="0" w:line="143" w:lineRule="exact"/>
              <w:rPr>
                <w:sz w:val="20"/>
                <w:szCs w:val="20"/>
                <w:color w:val="auto"/>
              </w:rPr>
            </w:pPr>
            <w:r>
              <w:rPr>
                <w:rFonts w:ascii="Arial" w:cs="Arial" w:eastAsia="Arial" w:hAnsi="Arial"/>
                <w:sz w:val="14"/>
                <w:szCs w:val="14"/>
                <w:color w:val="FFFFFF"/>
              </w:rPr>
              <w:t>Good</w:t>
            </w:r>
          </w:p>
        </w:tc>
        <w:tc>
          <w:tcPr>
            <w:tcW w:w="2760" w:type="dxa"/>
            <w:vAlign w:val="bottom"/>
            <w:vMerge w:val="continue"/>
            <w:shd w:val="clear" w:color="auto" w:fill="1077A9"/>
          </w:tcPr>
          <w:p>
            <w:pPr>
              <w:spacing w:after="0"/>
              <w:rPr>
                <w:sz w:val="7"/>
                <w:szCs w:val="7"/>
                <w:color w:val="auto"/>
              </w:rPr>
            </w:pPr>
          </w:p>
        </w:tc>
        <w:tc>
          <w:tcPr>
            <w:tcW w:w="2460" w:type="dxa"/>
            <w:vAlign w:val="bottom"/>
            <w:vMerge w:val="restart"/>
            <w:shd w:val="clear" w:color="auto" w:fill="1077A9"/>
          </w:tcPr>
          <w:p>
            <w:pPr>
              <w:jc w:val="right"/>
              <w:ind w:right="249"/>
              <w:spacing w:after="0" w:line="143" w:lineRule="exact"/>
              <w:rPr>
                <w:sz w:val="20"/>
                <w:szCs w:val="20"/>
                <w:color w:val="auto"/>
              </w:rPr>
            </w:pPr>
            <w:r>
              <w:rPr>
                <w:rFonts w:ascii="Arial" w:cs="Arial" w:eastAsia="Arial" w:hAnsi="Arial"/>
                <w:sz w:val="14"/>
                <w:szCs w:val="14"/>
                <w:color w:val="FFFFFF"/>
              </w:rPr>
              <w:t>Termination Due to Death or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40" w:type="dxa"/>
            <w:vAlign w:val="bottom"/>
            <w:vMerge w:val="restart"/>
            <w:shd w:val="clear" w:color="auto" w:fill="1077A9"/>
          </w:tcPr>
          <w:p>
            <w:pPr>
              <w:ind w:left="140"/>
              <w:spacing w:after="0"/>
              <w:rPr>
                <w:sz w:val="20"/>
                <w:szCs w:val="20"/>
                <w:color w:val="auto"/>
              </w:rPr>
            </w:pPr>
            <w:r>
              <w:rPr>
                <w:rFonts w:ascii="Arial" w:cs="Arial" w:eastAsia="Arial" w:hAnsi="Arial"/>
                <w:sz w:val="14"/>
                <w:szCs w:val="14"/>
                <w:color w:val="FFFFFF"/>
              </w:rPr>
              <w:t>Name</w:t>
            </w:r>
          </w:p>
        </w:tc>
        <w:tc>
          <w:tcPr>
            <w:tcW w:w="2180" w:type="dxa"/>
            <w:vAlign w:val="bottom"/>
            <w:vMerge w:val="restart"/>
            <w:shd w:val="clear" w:color="auto" w:fill="1077A9"/>
          </w:tcPr>
          <w:p>
            <w:pPr>
              <w:jc w:val="center"/>
              <w:spacing w:after="0"/>
              <w:rPr>
                <w:sz w:val="20"/>
                <w:szCs w:val="20"/>
                <w:color w:val="auto"/>
              </w:rPr>
            </w:pPr>
            <w:r>
              <w:rPr>
                <w:rFonts w:ascii="Arial" w:cs="Arial" w:eastAsia="Arial" w:hAnsi="Arial"/>
                <w:sz w:val="14"/>
                <w:szCs w:val="14"/>
                <w:color w:val="FFFFFF"/>
              </w:rPr>
              <w:t>or by Executive Without Good</w:t>
            </w:r>
          </w:p>
        </w:tc>
        <w:tc>
          <w:tcPr>
            <w:tcW w:w="2180" w:type="dxa"/>
            <w:vAlign w:val="bottom"/>
            <w:vMerge w:val="continue"/>
            <w:shd w:val="clear" w:color="auto" w:fill="1077A9"/>
          </w:tcPr>
          <w:p>
            <w:pPr>
              <w:spacing w:after="0"/>
              <w:rPr>
                <w:sz w:val="5"/>
                <w:szCs w:val="5"/>
                <w:color w:val="auto"/>
              </w:rPr>
            </w:pPr>
          </w:p>
        </w:tc>
        <w:tc>
          <w:tcPr>
            <w:tcW w:w="2760" w:type="dxa"/>
            <w:vAlign w:val="bottom"/>
            <w:vMerge w:val="restart"/>
            <w:shd w:val="clear" w:color="auto" w:fill="1077A9"/>
          </w:tcPr>
          <w:p>
            <w:pPr>
              <w:jc w:val="center"/>
              <w:ind w:right="88"/>
              <w:spacing w:after="0"/>
              <w:rPr>
                <w:sz w:val="20"/>
                <w:szCs w:val="20"/>
                <w:color w:val="auto"/>
              </w:rPr>
            </w:pPr>
            <w:r>
              <w:rPr>
                <w:rFonts w:ascii="Arial" w:cs="Arial" w:eastAsia="Arial" w:hAnsi="Arial"/>
                <w:sz w:val="14"/>
                <w:szCs w:val="14"/>
                <w:color w:val="FFFFFF"/>
              </w:rPr>
              <w:t>Reason Within Six Months Prior to</w:t>
            </w:r>
          </w:p>
        </w:tc>
        <w:tc>
          <w:tcPr>
            <w:tcW w:w="2460" w:type="dxa"/>
            <w:vAlign w:val="bottom"/>
            <w:vMerge w:val="continue"/>
            <w:shd w:val="clear" w:color="auto" w:fill="1077A9"/>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vMerge w:val="continue"/>
            <w:shd w:val="clear" w:color="auto" w:fill="1077A9"/>
          </w:tcPr>
          <w:p>
            <w:pPr>
              <w:spacing w:after="0"/>
              <w:rPr>
                <w:sz w:val="8"/>
                <w:szCs w:val="8"/>
                <w:color w:val="auto"/>
              </w:rPr>
            </w:pPr>
          </w:p>
        </w:tc>
        <w:tc>
          <w:tcPr>
            <w:tcW w:w="2180" w:type="dxa"/>
            <w:vAlign w:val="bottom"/>
            <w:vMerge w:val="continue"/>
            <w:shd w:val="clear" w:color="auto" w:fill="1077A9"/>
          </w:tcPr>
          <w:p>
            <w:pPr>
              <w:spacing w:after="0"/>
              <w:rPr>
                <w:sz w:val="8"/>
                <w:szCs w:val="8"/>
                <w:color w:val="auto"/>
              </w:rPr>
            </w:pPr>
          </w:p>
        </w:tc>
        <w:tc>
          <w:tcPr>
            <w:tcW w:w="2180" w:type="dxa"/>
            <w:vAlign w:val="bottom"/>
            <w:vMerge w:val="restart"/>
            <w:shd w:val="clear" w:color="auto" w:fill="1077A9"/>
          </w:tcPr>
          <w:p>
            <w:pPr>
              <w:jc w:val="center"/>
              <w:ind w:right="88"/>
              <w:spacing w:after="0"/>
              <w:rPr>
                <w:sz w:val="20"/>
                <w:szCs w:val="20"/>
                <w:color w:val="auto"/>
              </w:rPr>
            </w:pPr>
            <w:r>
              <w:rPr>
                <w:rFonts w:ascii="Arial" w:cs="Arial" w:eastAsia="Arial" w:hAnsi="Arial"/>
                <w:sz w:val="14"/>
                <w:szCs w:val="14"/>
                <w:color w:val="FFFFFF"/>
              </w:rPr>
              <w:t>Reason More than Six Months</w:t>
            </w:r>
          </w:p>
        </w:tc>
        <w:tc>
          <w:tcPr>
            <w:tcW w:w="2760" w:type="dxa"/>
            <w:vAlign w:val="bottom"/>
            <w:vMerge w:val="continue"/>
            <w:shd w:val="clear" w:color="auto" w:fill="1077A9"/>
          </w:tcPr>
          <w:p>
            <w:pPr>
              <w:spacing w:after="0"/>
              <w:rPr>
                <w:sz w:val="8"/>
                <w:szCs w:val="8"/>
                <w:color w:val="auto"/>
              </w:rPr>
            </w:pPr>
          </w:p>
        </w:tc>
        <w:tc>
          <w:tcPr>
            <w:tcW w:w="2460" w:type="dxa"/>
            <w:vAlign w:val="bottom"/>
            <w:vMerge w:val="restart"/>
            <w:shd w:val="clear" w:color="auto" w:fill="1077A9"/>
          </w:tcPr>
          <w:p>
            <w:pPr>
              <w:jc w:val="right"/>
              <w:ind w:right="729"/>
              <w:spacing w:after="0" w:line="181" w:lineRule="exact"/>
              <w:rPr>
                <w:sz w:val="20"/>
                <w:szCs w:val="20"/>
                <w:color w:val="auto"/>
              </w:rPr>
            </w:pPr>
            <w:r>
              <w:rPr>
                <w:rFonts w:ascii="Arial" w:cs="Arial" w:eastAsia="Arial" w:hAnsi="Arial"/>
                <w:sz w:val="13"/>
                <w:szCs w:val="13"/>
                <w:color w:val="FFFFFF"/>
              </w:rPr>
              <w:t>Disability ($)</w:t>
            </w:r>
            <w:r>
              <w:rPr>
                <w:rFonts w:ascii="Arial" w:cs="Arial" w:eastAsia="Arial" w:hAnsi="Arial"/>
                <w:sz w:val="20"/>
                <w:szCs w:val="20"/>
                <w:color w:val="FFFFFF"/>
                <w:vertAlign w:val="superscript"/>
              </w:rPr>
              <w:t>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40" w:type="dxa"/>
            <w:vAlign w:val="bottom"/>
            <w:shd w:val="clear" w:color="auto" w:fill="1077A9"/>
          </w:tcPr>
          <w:p>
            <w:pPr>
              <w:spacing w:after="0"/>
              <w:rPr>
                <w:sz w:val="7"/>
                <w:szCs w:val="7"/>
                <w:color w:val="auto"/>
              </w:rPr>
            </w:pPr>
          </w:p>
        </w:tc>
        <w:tc>
          <w:tcPr>
            <w:tcW w:w="2180" w:type="dxa"/>
            <w:vAlign w:val="bottom"/>
            <w:vMerge w:val="restart"/>
            <w:shd w:val="clear" w:color="auto" w:fill="1077A9"/>
          </w:tcPr>
          <w:p>
            <w:pPr>
              <w:jc w:val="center"/>
              <w:spacing w:after="0" w:line="143" w:lineRule="exact"/>
              <w:rPr>
                <w:sz w:val="20"/>
                <w:szCs w:val="20"/>
                <w:color w:val="auto"/>
              </w:rPr>
            </w:pPr>
            <w:r>
              <w:rPr>
                <w:rFonts w:ascii="Arial" w:cs="Arial" w:eastAsia="Arial" w:hAnsi="Arial"/>
                <w:sz w:val="14"/>
                <w:szCs w:val="14"/>
                <w:color w:val="FFFFFF"/>
              </w:rPr>
              <w:t>Reason ($)</w:t>
            </w:r>
          </w:p>
        </w:tc>
        <w:tc>
          <w:tcPr>
            <w:tcW w:w="2180" w:type="dxa"/>
            <w:vAlign w:val="bottom"/>
            <w:vMerge w:val="continue"/>
            <w:shd w:val="clear" w:color="auto" w:fill="1077A9"/>
          </w:tcPr>
          <w:p>
            <w:pPr>
              <w:spacing w:after="0"/>
              <w:rPr>
                <w:sz w:val="7"/>
                <w:szCs w:val="7"/>
                <w:color w:val="auto"/>
              </w:rPr>
            </w:pPr>
          </w:p>
        </w:tc>
        <w:tc>
          <w:tcPr>
            <w:tcW w:w="2760" w:type="dxa"/>
            <w:vAlign w:val="bottom"/>
            <w:vMerge w:val="restart"/>
            <w:shd w:val="clear" w:color="auto" w:fill="1077A9"/>
          </w:tcPr>
          <w:p>
            <w:pPr>
              <w:jc w:val="center"/>
              <w:ind w:right="68"/>
              <w:spacing w:after="0" w:line="143" w:lineRule="exact"/>
              <w:rPr>
                <w:sz w:val="20"/>
                <w:szCs w:val="20"/>
                <w:color w:val="auto"/>
              </w:rPr>
            </w:pPr>
            <w:r>
              <w:rPr>
                <w:rFonts w:ascii="Arial" w:cs="Arial" w:eastAsia="Arial" w:hAnsi="Arial"/>
                <w:sz w:val="14"/>
                <w:szCs w:val="14"/>
                <w:color w:val="FFFFFF"/>
              </w:rPr>
              <w:t>or Eighteen Months Following a</w:t>
            </w:r>
          </w:p>
        </w:tc>
        <w:tc>
          <w:tcPr>
            <w:tcW w:w="246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40" w:type="dxa"/>
            <w:vAlign w:val="bottom"/>
            <w:shd w:val="clear" w:color="auto" w:fill="1077A9"/>
          </w:tcPr>
          <w:p>
            <w:pPr>
              <w:spacing w:after="0"/>
              <w:rPr>
                <w:sz w:val="5"/>
                <w:szCs w:val="5"/>
                <w:color w:val="auto"/>
              </w:rPr>
            </w:pPr>
          </w:p>
        </w:tc>
        <w:tc>
          <w:tcPr>
            <w:tcW w:w="2180" w:type="dxa"/>
            <w:vAlign w:val="bottom"/>
            <w:vMerge w:val="continue"/>
            <w:shd w:val="clear" w:color="auto" w:fill="1077A9"/>
          </w:tcPr>
          <w:p>
            <w:pPr>
              <w:spacing w:after="0"/>
              <w:rPr>
                <w:sz w:val="5"/>
                <w:szCs w:val="5"/>
                <w:color w:val="auto"/>
              </w:rPr>
            </w:pPr>
          </w:p>
        </w:tc>
        <w:tc>
          <w:tcPr>
            <w:tcW w:w="2180" w:type="dxa"/>
            <w:vAlign w:val="bottom"/>
            <w:vMerge w:val="restart"/>
            <w:shd w:val="clear" w:color="auto" w:fill="1077A9"/>
          </w:tcPr>
          <w:p>
            <w:pPr>
              <w:jc w:val="center"/>
              <w:ind w:right="88"/>
              <w:spacing w:after="0" w:line="143" w:lineRule="exact"/>
              <w:rPr>
                <w:sz w:val="20"/>
                <w:szCs w:val="20"/>
                <w:color w:val="auto"/>
              </w:rPr>
            </w:pPr>
            <w:r>
              <w:rPr>
                <w:rFonts w:ascii="Arial" w:cs="Arial" w:eastAsia="Arial" w:hAnsi="Arial"/>
                <w:sz w:val="14"/>
                <w:szCs w:val="14"/>
                <w:color w:val="FFFFFF"/>
              </w:rPr>
              <w:t>Prior</w:t>
            </w:r>
          </w:p>
        </w:tc>
        <w:tc>
          <w:tcPr>
            <w:tcW w:w="2760" w:type="dxa"/>
            <w:vAlign w:val="bottom"/>
            <w:vMerge w:val="continue"/>
            <w:shd w:val="clear" w:color="auto" w:fill="1077A9"/>
          </w:tcPr>
          <w:p>
            <w:pPr>
              <w:spacing w:after="0"/>
              <w:rPr>
                <w:sz w:val="5"/>
                <w:szCs w:val="5"/>
                <w:color w:val="auto"/>
              </w:rPr>
            </w:pPr>
          </w:p>
        </w:tc>
        <w:tc>
          <w:tcPr>
            <w:tcW w:w="2460" w:type="dxa"/>
            <w:vAlign w:val="bottom"/>
            <w:shd w:val="clear" w:color="auto" w:fill="1077A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40" w:type="dxa"/>
            <w:vAlign w:val="bottom"/>
            <w:shd w:val="clear" w:color="auto" w:fill="1077A9"/>
          </w:tcPr>
          <w:p>
            <w:pPr>
              <w:spacing w:after="0"/>
              <w:rPr>
                <w:sz w:val="7"/>
                <w:szCs w:val="7"/>
                <w:color w:val="auto"/>
              </w:rPr>
            </w:pPr>
          </w:p>
        </w:tc>
        <w:tc>
          <w:tcPr>
            <w:tcW w:w="2180" w:type="dxa"/>
            <w:vAlign w:val="bottom"/>
            <w:shd w:val="clear" w:color="auto" w:fill="1077A9"/>
          </w:tcPr>
          <w:p>
            <w:pPr>
              <w:spacing w:after="0"/>
              <w:rPr>
                <w:sz w:val="7"/>
                <w:szCs w:val="7"/>
                <w:color w:val="auto"/>
              </w:rPr>
            </w:pPr>
          </w:p>
        </w:tc>
        <w:tc>
          <w:tcPr>
            <w:tcW w:w="2180" w:type="dxa"/>
            <w:vAlign w:val="bottom"/>
            <w:vMerge w:val="continue"/>
            <w:shd w:val="clear" w:color="auto" w:fill="1077A9"/>
          </w:tcPr>
          <w:p>
            <w:pPr>
              <w:spacing w:after="0"/>
              <w:rPr>
                <w:sz w:val="7"/>
                <w:szCs w:val="7"/>
                <w:color w:val="auto"/>
              </w:rPr>
            </w:pPr>
          </w:p>
        </w:tc>
        <w:tc>
          <w:tcPr>
            <w:tcW w:w="2760" w:type="dxa"/>
            <w:vAlign w:val="bottom"/>
            <w:vMerge w:val="restart"/>
            <w:shd w:val="clear" w:color="auto" w:fill="1077A9"/>
          </w:tcPr>
          <w:p>
            <w:pPr>
              <w:jc w:val="center"/>
              <w:ind w:right="88"/>
              <w:spacing w:after="0" w:line="230" w:lineRule="exact"/>
              <w:rPr>
                <w:sz w:val="20"/>
                <w:szCs w:val="20"/>
                <w:color w:val="auto"/>
              </w:rPr>
            </w:pPr>
            <w:r>
              <w:rPr>
                <w:rFonts w:ascii="Arial" w:cs="Arial" w:eastAsia="Arial" w:hAnsi="Arial"/>
                <w:sz w:val="14"/>
                <w:szCs w:val="14"/>
                <w:color w:val="FFFFFF"/>
              </w:rPr>
              <w:t>Change in Control ($)</w:t>
            </w:r>
            <w:r>
              <w:rPr>
                <w:rFonts w:ascii="Arial" w:cs="Arial" w:eastAsia="Arial" w:hAnsi="Arial"/>
                <w:sz w:val="23"/>
                <w:szCs w:val="23"/>
                <w:color w:val="FFFFFF"/>
                <w:vertAlign w:val="superscript"/>
              </w:rPr>
              <w:t>2</w:t>
            </w:r>
          </w:p>
        </w:tc>
        <w:tc>
          <w:tcPr>
            <w:tcW w:w="2460" w:type="dxa"/>
            <w:vAlign w:val="bottom"/>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1077A9"/>
          </w:tcPr>
          <w:p>
            <w:pPr>
              <w:spacing w:after="0"/>
              <w:rPr>
                <w:sz w:val="12"/>
                <w:szCs w:val="12"/>
                <w:color w:val="auto"/>
              </w:rPr>
            </w:pPr>
          </w:p>
        </w:tc>
        <w:tc>
          <w:tcPr>
            <w:tcW w:w="2180" w:type="dxa"/>
            <w:vAlign w:val="bottom"/>
            <w:shd w:val="clear" w:color="auto" w:fill="1077A9"/>
          </w:tcPr>
          <w:p>
            <w:pPr>
              <w:spacing w:after="0"/>
              <w:rPr>
                <w:sz w:val="12"/>
                <w:szCs w:val="12"/>
                <w:color w:val="auto"/>
              </w:rPr>
            </w:pPr>
          </w:p>
        </w:tc>
        <w:tc>
          <w:tcPr>
            <w:tcW w:w="2180" w:type="dxa"/>
            <w:vAlign w:val="bottom"/>
            <w:vMerge w:val="restart"/>
            <w:shd w:val="clear" w:color="auto" w:fill="1077A9"/>
          </w:tcPr>
          <w:p>
            <w:pPr>
              <w:jc w:val="center"/>
              <w:ind w:right="68"/>
              <w:spacing w:after="0" w:line="230" w:lineRule="exact"/>
              <w:rPr>
                <w:sz w:val="20"/>
                <w:szCs w:val="20"/>
                <w:color w:val="auto"/>
              </w:rPr>
            </w:pPr>
            <w:r>
              <w:rPr>
                <w:rFonts w:ascii="Arial" w:cs="Arial" w:eastAsia="Arial" w:hAnsi="Arial"/>
                <w:sz w:val="14"/>
                <w:szCs w:val="14"/>
                <w:color w:val="FFFFFF"/>
              </w:rPr>
              <w:t>to Change in Control ($)</w:t>
            </w:r>
            <w:r>
              <w:rPr>
                <w:rFonts w:ascii="Arial" w:cs="Arial" w:eastAsia="Arial" w:hAnsi="Arial"/>
                <w:sz w:val="23"/>
                <w:szCs w:val="23"/>
                <w:color w:val="FFFFFF"/>
                <w:vertAlign w:val="superscript"/>
              </w:rPr>
              <w:t>1</w:t>
            </w:r>
          </w:p>
        </w:tc>
        <w:tc>
          <w:tcPr>
            <w:tcW w:w="2760" w:type="dxa"/>
            <w:vAlign w:val="bottom"/>
            <w:vMerge w:val="continue"/>
            <w:shd w:val="clear" w:color="auto" w:fill="1077A9"/>
          </w:tcPr>
          <w:p>
            <w:pPr>
              <w:spacing w:after="0"/>
              <w:rPr>
                <w:sz w:val="12"/>
                <w:szCs w:val="12"/>
                <w:color w:val="auto"/>
              </w:rPr>
            </w:pPr>
          </w:p>
        </w:tc>
        <w:tc>
          <w:tcPr>
            <w:tcW w:w="2460" w:type="dxa"/>
            <w:vAlign w:val="bottom"/>
            <w:shd w:val="clear" w:color="auto" w:fill="1077A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40" w:type="dxa"/>
            <w:vAlign w:val="bottom"/>
            <w:shd w:val="clear" w:color="auto" w:fill="1077A9"/>
          </w:tcPr>
          <w:p>
            <w:pPr>
              <w:spacing w:after="0"/>
              <w:rPr>
                <w:sz w:val="7"/>
                <w:szCs w:val="7"/>
                <w:color w:val="auto"/>
              </w:rPr>
            </w:pPr>
          </w:p>
        </w:tc>
        <w:tc>
          <w:tcPr>
            <w:tcW w:w="2180" w:type="dxa"/>
            <w:vAlign w:val="bottom"/>
            <w:shd w:val="clear" w:color="auto" w:fill="1077A9"/>
          </w:tcPr>
          <w:p>
            <w:pPr>
              <w:spacing w:after="0"/>
              <w:rPr>
                <w:sz w:val="7"/>
                <w:szCs w:val="7"/>
                <w:color w:val="auto"/>
              </w:rPr>
            </w:pPr>
          </w:p>
        </w:tc>
        <w:tc>
          <w:tcPr>
            <w:tcW w:w="2180" w:type="dxa"/>
            <w:vAlign w:val="bottom"/>
            <w:vMerge w:val="continue"/>
            <w:shd w:val="clear" w:color="auto" w:fill="1077A9"/>
          </w:tcPr>
          <w:p>
            <w:pPr>
              <w:spacing w:after="0"/>
              <w:rPr>
                <w:sz w:val="7"/>
                <w:szCs w:val="7"/>
                <w:color w:val="auto"/>
              </w:rPr>
            </w:pPr>
          </w:p>
        </w:tc>
        <w:tc>
          <w:tcPr>
            <w:tcW w:w="2760" w:type="dxa"/>
            <w:vAlign w:val="bottom"/>
            <w:shd w:val="clear" w:color="auto" w:fill="1077A9"/>
          </w:tcPr>
          <w:p>
            <w:pPr>
              <w:spacing w:after="0"/>
              <w:rPr>
                <w:sz w:val="7"/>
                <w:szCs w:val="7"/>
                <w:color w:val="auto"/>
              </w:rPr>
            </w:pPr>
          </w:p>
        </w:tc>
        <w:tc>
          <w:tcPr>
            <w:tcW w:w="2460" w:type="dxa"/>
            <w:vAlign w:val="bottom"/>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H. Lynn Harton</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448"/>
              <w:spacing w:after="0"/>
              <w:rPr>
                <w:sz w:val="20"/>
                <w:szCs w:val="20"/>
                <w:color w:val="auto"/>
              </w:rPr>
            </w:pPr>
            <w:r>
              <w:rPr>
                <w:rFonts w:ascii="Arial" w:cs="Arial" w:eastAsia="Arial" w:hAnsi="Arial"/>
                <w:sz w:val="14"/>
                <w:szCs w:val="14"/>
                <w:color w:val="auto"/>
              </w:rPr>
              <w:t>$ 4,178,195</w:t>
            </w:r>
          </w:p>
        </w:tc>
        <w:tc>
          <w:tcPr>
            <w:tcW w:w="2760" w:type="dxa"/>
            <w:vAlign w:val="bottom"/>
          </w:tcPr>
          <w:p>
            <w:pPr>
              <w:jc w:val="right"/>
              <w:ind w:right="288"/>
              <w:spacing w:after="0"/>
              <w:rPr>
                <w:sz w:val="20"/>
                <w:szCs w:val="20"/>
                <w:color w:val="auto"/>
              </w:rPr>
            </w:pPr>
            <w:r>
              <w:rPr>
                <w:rFonts w:ascii="Arial" w:cs="Arial" w:eastAsia="Arial" w:hAnsi="Arial"/>
                <w:sz w:val="14"/>
                <w:szCs w:val="14"/>
                <w:color w:val="auto"/>
              </w:rPr>
              <w:t>$ 9,604,189</w:t>
            </w:r>
          </w:p>
        </w:tc>
        <w:tc>
          <w:tcPr>
            <w:tcW w:w="2460" w:type="dxa"/>
            <w:vAlign w:val="bottom"/>
          </w:tcPr>
          <w:p>
            <w:pPr>
              <w:jc w:val="right"/>
              <w:ind w:right="289"/>
              <w:spacing w:after="0"/>
              <w:rPr>
                <w:sz w:val="20"/>
                <w:szCs w:val="20"/>
                <w:color w:val="auto"/>
              </w:rPr>
            </w:pPr>
            <w:r>
              <w:rPr>
                <w:rFonts w:ascii="Arial" w:cs="Arial" w:eastAsia="Arial" w:hAnsi="Arial"/>
                <w:sz w:val="14"/>
                <w:szCs w:val="14"/>
                <w:color w:val="auto"/>
              </w:rPr>
              <w:t>$ 746,961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shd w:val="clear" w:color="auto" w:fill="E5E6E6"/>
          </w:tcPr>
          <w:p>
            <w:pPr>
              <w:ind w:left="140"/>
              <w:spacing w:after="0"/>
              <w:rPr>
                <w:sz w:val="20"/>
                <w:szCs w:val="20"/>
                <w:color w:val="auto"/>
              </w:rPr>
            </w:pPr>
            <w:r>
              <w:rPr>
                <w:rFonts w:ascii="Arial" w:cs="Arial" w:eastAsia="Arial" w:hAnsi="Arial"/>
                <w:sz w:val="14"/>
                <w:szCs w:val="14"/>
                <w:color w:val="auto"/>
              </w:rPr>
              <w:t>Jefferson L. Harralson</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448"/>
              <w:spacing w:after="0"/>
              <w:rPr>
                <w:sz w:val="20"/>
                <w:szCs w:val="20"/>
                <w:color w:val="auto"/>
              </w:rPr>
            </w:pPr>
            <w:r>
              <w:rPr>
                <w:rFonts w:ascii="Arial" w:cs="Arial" w:eastAsia="Arial" w:hAnsi="Arial"/>
                <w:sz w:val="14"/>
                <w:szCs w:val="14"/>
                <w:color w:val="auto"/>
              </w:rPr>
              <w:t>1,540,908</w:t>
            </w:r>
          </w:p>
        </w:tc>
        <w:tc>
          <w:tcPr>
            <w:tcW w:w="27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3,139,409</w:t>
            </w:r>
          </w:p>
        </w:tc>
        <w:tc>
          <w:tcPr>
            <w:tcW w:w="2460" w:type="dxa"/>
            <w:vAlign w:val="bottom"/>
            <w:shd w:val="clear" w:color="auto" w:fill="E5E6E6"/>
          </w:tcPr>
          <w:p>
            <w:pPr>
              <w:jc w:val="right"/>
              <w:ind w:right="289"/>
              <w:spacing w:after="0"/>
              <w:rPr>
                <w:sz w:val="20"/>
                <w:szCs w:val="20"/>
                <w:color w:val="auto"/>
              </w:rPr>
            </w:pPr>
            <w:r>
              <w:rPr>
                <w:rFonts w:ascii="Arial" w:cs="Arial" w:eastAsia="Arial" w:hAnsi="Arial"/>
                <w:sz w:val="14"/>
                <w:szCs w:val="14"/>
                <w:color w:val="auto"/>
              </w:rPr>
              <w:t>275,316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Richard W. Bradshaw</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448"/>
              <w:spacing w:after="0"/>
              <w:rPr>
                <w:sz w:val="20"/>
                <w:szCs w:val="20"/>
                <w:color w:val="auto"/>
              </w:rPr>
            </w:pPr>
            <w:r>
              <w:rPr>
                <w:rFonts w:ascii="Arial" w:cs="Arial" w:eastAsia="Arial" w:hAnsi="Arial"/>
                <w:sz w:val="14"/>
                <w:szCs w:val="14"/>
                <w:color w:val="auto"/>
              </w:rPr>
              <w:t>1,158,276</w:t>
            </w:r>
          </w:p>
        </w:tc>
        <w:tc>
          <w:tcPr>
            <w:tcW w:w="2760" w:type="dxa"/>
            <w:vAlign w:val="bottom"/>
          </w:tcPr>
          <w:p>
            <w:pPr>
              <w:jc w:val="right"/>
              <w:ind w:right="288"/>
              <w:spacing w:after="0"/>
              <w:rPr>
                <w:sz w:val="20"/>
                <w:szCs w:val="20"/>
                <w:color w:val="auto"/>
              </w:rPr>
            </w:pPr>
            <w:r>
              <w:rPr>
                <w:rFonts w:ascii="Arial" w:cs="Arial" w:eastAsia="Arial" w:hAnsi="Arial"/>
                <w:sz w:val="14"/>
                <w:szCs w:val="14"/>
                <w:color w:val="auto"/>
              </w:rPr>
              <w:t>2,601,463</w:t>
            </w:r>
          </w:p>
        </w:tc>
        <w:tc>
          <w:tcPr>
            <w:tcW w:w="2460" w:type="dxa"/>
            <w:vAlign w:val="bottom"/>
          </w:tcPr>
          <w:p>
            <w:pPr>
              <w:jc w:val="right"/>
              <w:ind w:right="289"/>
              <w:spacing w:after="0"/>
              <w:rPr>
                <w:sz w:val="20"/>
                <w:szCs w:val="20"/>
                <w:color w:val="auto"/>
              </w:rPr>
            </w:pPr>
            <w:r>
              <w:rPr>
                <w:rFonts w:ascii="Arial" w:cs="Arial" w:eastAsia="Arial" w:hAnsi="Arial"/>
                <w:sz w:val="14"/>
                <w:szCs w:val="14"/>
                <w:color w:val="auto"/>
              </w:rPr>
              <w:t>187,427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shd w:val="clear" w:color="auto" w:fill="E5E6E6"/>
          </w:tcPr>
          <w:p>
            <w:pPr>
              <w:ind w:left="140"/>
              <w:spacing w:after="0"/>
              <w:rPr>
                <w:sz w:val="20"/>
                <w:szCs w:val="20"/>
                <w:color w:val="auto"/>
              </w:rPr>
            </w:pPr>
            <w:r>
              <w:rPr>
                <w:rFonts w:ascii="Arial" w:cs="Arial" w:eastAsia="Arial" w:hAnsi="Arial"/>
                <w:sz w:val="14"/>
                <w:szCs w:val="14"/>
                <w:color w:val="auto"/>
              </w:rPr>
              <w:t>Robert A. Edwards</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448"/>
              <w:spacing w:after="0"/>
              <w:rPr>
                <w:sz w:val="20"/>
                <w:szCs w:val="20"/>
                <w:color w:val="auto"/>
              </w:rPr>
            </w:pPr>
            <w:r>
              <w:rPr>
                <w:rFonts w:ascii="Arial" w:cs="Arial" w:eastAsia="Arial" w:hAnsi="Arial"/>
                <w:sz w:val="14"/>
                <w:szCs w:val="14"/>
                <w:color w:val="auto"/>
              </w:rPr>
              <w:t>1,213,876</w:t>
            </w:r>
          </w:p>
        </w:tc>
        <w:tc>
          <w:tcPr>
            <w:tcW w:w="27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2,608,595</w:t>
            </w:r>
          </w:p>
        </w:tc>
        <w:tc>
          <w:tcPr>
            <w:tcW w:w="2460" w:type="dxa"/>
            <w:vAlign w:val="bottom"/>
            <w:shd w:val="clear" w:color="auto" w:fill="E5E6E6"/>
          </w:tcPr>
          <w:p>
            <w:pPr>
              <w:jc w:val="right"/>
              <w:ind w:right="289"/>
              <w:spacing w:after="0"/>
              <w:rPr>
                <w:sz w:val="20"/>
                <w:szCs w:val="20"/>
                <w:color w:val="auto"/>
              </w:rPr>
            </w:pPr>
            <w:r>
              <w:rPr>
                <w:rFonts w:ascii="Arial" w:cs="Arial" w:eastAsia="Arial" w:hAnsi="Arial"/>
                <w:sz w:val="14"/>
                <w:szCs w:val="14"/>
                <w:color w:val="auto"/>
              </w:rPr>
              <w:t>209,070</w:t>
            </w:r>
          </w:p>
        </w:tc>
        <w:tc>
          <w:tcPr>
            <w:tcW w:w="0" w:type="dxa"/>
            <w:vAlign w:val="bottom"/>
          </w:tcPr>
          <w:p>
            <w:pPr>
              <w:spacing w:after="0"/>
              <w:rPr>
                <w:sz w:val="1"/>
                <w:szCs w:val="1"/>
                <w:color w:val="auto"/>
              </w:rPr>
            </w:pPr>
          </w:p>
        </w:tc>
      </w:tr>
      <w:tr>
        <w:trPr>
          <w:trHeight w:val="196"/>
        </w:trPr>
        <w:tc>
          <w:tcPr>
            <w:tcW w:w="20" w:type="dxa"/>
            <w:vAlign w:val="bottom"/>
            <w:tcBorders>
              <w:bottom w:val="single" w:sz="8" w:color="E5E6E6"/>
            </w:tcBorders>
          </w:tcPr>
          <w:p>
            <w:pPr>
              <w:spacing w:after="0"/>
              <w:rPr>
                <w:sz w:val="17"/>
                <w:szCs w:val="17"/>
                <w:color w:val="auto"/>
              </w:rPr>
            </w:pPr>
          </w:p>
        </w:tc>
        <w:tc>
          <w:tcPr>
            <w:tcW w:w="1640" w:type="dxa"/>
            <w:vAlign w:val="bottom"/>
            <w:tcBorders>
              <w:bottom w:val="single" w:sz="8" w:color="E5E6E6"/>
            </w:tcBorders>
          </w:tcPr>
          <w:p>
            <w:pPr>
              <w:ind w:left="140"/>
              <w:spacing w:after="0"/>
              <w:rPr>
                <w:sz w:val="20"/>
                <w:szCs w:val="20"/>
                <w:color w:val="auto"/>
              </w:rPr>
            </w:pPr>
            <w:r>
              <w:rPr>
                <w:rFonts w:ascii="Arial" w:cs="Arial" w:eastAsia="Arial" w:hAnsi="Arial"/>
                <w:sz w:val="14"/>
                <w:szCs w:val="14"/>
                <w:color w:val="auto"/>
              </w:rPr>
              <w:t>Melinda Davis Lux</w:t>
            </w:r>
          </w:p>
        </w:tc>
        <w:tc>
          <w:tcPr>
            <w:tcW w:w="2180" w:type="dxa"/>
            <w:vAlign w:val="bottom"/>
            <w:tcBorders>
              <w:bottom w:val="single" w:sz="8" w:color="E5E6E6"/>
            </w:tcBorders>
          </w:tcPr>
          <w:p>
            <w:pPr>
              <w:jc w:val="right"/>
              <w:ind w:right="28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E5E6E6"/>
            </w:tcBorders>
          </w:tcPr>
          <w:p>
            <w:pPr>
              <w:jc w:val="right"/>
              <w:ind w:right="448"/>
              <w:spacing w:after="0"/>
              <w:rPr>
                <w:sz w:val="20"/>
                <w:szCs w:val="20"/>
                <w:color w:val="auto"/>
              </w:rPr>
            </w:pPr>
            <w:r>
              <w:rPr>
                <w:rFonts w:ascii="Arial" w:cs="Arial" w:eastAsia="Arial" w:hAnsi="Arial"/>
                <w:sz w:val="14"/>
                <w:szCs w:val="14"/>
                <w:color w:val="auto"/>
              </w:rPr>
              <w:t>642,090</w:t>
            </w:r>
          </w:p>
        </w:tc>
        <w:tc>
          <w:tcPr>
            <w:tcW w:w="2760" w:type="dxa"/>
            <w:vAlign w:val="bottom"/>
            <w:tcBorders>
              <w:bottom w:val="single" w:sz="8" w:color="E5E6E6"/>
            </w:tcBorders>
          </w:tcPr>
          <w:p>
            <w:pPr>
              <w:jc w:val="right"/>
              <w:ind w:right="288"/>
              <w:spacing w:after="0"/>
              <w:rPr>
                <w:sz w:val="20"/>
                <w:szCs w:val="20"/>
                <w:color w:val="auto"/>
              </w:rPr>
            </w:pPr>
            <w:r>
              <w:rPr>
                <w:rFonts w:ascii="Arial" w:cs="Arial" w:eastAsia="Arial" w:hAnsi="Arial"/>
                <w:sz w:val="14"/>
                <w:szCs w:val="14"/>
                <w:color w:val="auto"/>
              </w:rPr>
              <w:t>1,616,594</w:t>
            </w:r>
          </w:p>
        </w:tc>
        <w:tc>
          <w:tcPr>
            <w:tcW w:w="2460" w:type="dxa"/>
            <w:vAlign w:val="bottom"/>
            <w:tcBorders>
              <w:bottom w:val="single" w:sz="8" w:color="E5E6E6"/>
            </w:tcBorders>
          </w:tcPr>
          <w:p>
            <w:pPr>
              <w:jc w:val="right"/>
              <w:ind w:right="289"/>
              <w:spacing w:after="0"/>
              <w:rPr>
                <w:sz w:val="20"/>
                <w:szCs w:val="20"/>
                <w:color w:val="auto"/>
              </w:rPr>
            </w:pPr>
            <w:r>
              <w:rPr>
                <w:rFonts w:ascii="Arial" w:cs="Arial" w:eastAsia="Arial" w:hAnsi="Arial"/>
                <w:sz w:val="14"/>
                <w:szCs w:val="14"/>
                <w:color w:val="auto"/>
              </w:rPr>
              <w:t>60,072</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hanging="112"/>
        <w:spacing w:after="0"/>
        <w:tabs>
          <w:tab w:leader="none" w:pos="12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In the event of a termination without cause or for good reason outside the change in control period:</w:t>
      </w:r>
    </w:p>
    <w:p>
      <w:pPr>
        <w:ind w:left="320" w:right="80" w:hanging="191"/>
        <w:spacing w:after="0" w:line="241" w:lineRule="auto"/>
        <w:tabs>
          <w:tab w:leader="none" w:pos="320" w:val="left"/>
        </w:tabs>
        <w:numPr>
          <w:ilvl w:val="1"/>
          <w:numId w:val="65"/>
        </w:numPr>
        <w:rPr>
          <w:rFonts w:ascii="Arial" w:cs="Arial" w:eastAsia="Arial" w:hAnsi="Arial"/>
          <w:sz w:val="14"/>
          <w:szCs w:val="14"/>
          <w:color w:val="auto"/>
        </w:rPr>
      </w:pPr>
      <w:r>
        <w:rPr>
          <w:rFonts w:ascii="Arial" w:cs="Arial" w:eastAsia="Arial" w:hAnsi="Arial"/>
          <w:sz w:val="14"/>
          <w:szCs w:val="14"/>
          <w:color w:val="auto"/>
        </w:rPr>
        <w:t>Each NEO would continue to vest in all respective unvested restricted stock units granted in 2017, 2018 and 2019 on the same schedule as if each was employed (subject to performance conditions to the extent applicable); and</w:t>
      </w:r>
    </w:p>
    <w:p>
      <w:pPr>
        <w:ind w:left="320" w:hanging="191"/>
        <w:spacing w:after="0"/>
        <w:tabs>
          <w:tab w:leader="none" w:pos="320" w:val="left"/>
        </w:tabs>
        <w:numPr>
          <w:ilvl w:val="1"/>
          <w:numId w:val="65"/>
        </w:numPr>
        <w:rPr>
          <w:rFonts w:ascii="Arial" w:cs="Arial" w:eastAsia="Arial" w:hAnsi="Arial"/>
          <w:sz w:val="14"/>
          <w:szCs w:val="14"/>
          <w:color w:val="auto"/>
        </w:rPr>
      </w:pPr>
      <w:r>
        <w:rPr>
          <w:rFonts w:ascii="Arial" w:cs="Arial" w:eastAsia="Arial" w:hAnsi="Arial"/>
          <w:sz w:val="14"/>
          <w:szCs w:val="14"/>
          <w:color w:val="auto"/>
        </w:rPr>
        <w:t>Each NEO would forfeit his restricted stock units granted in 2020 because the termination would have occurred prior to the initial restriction period of one year and thirty</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days from the date of grant.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 amounts may be reduced for awards that are subject to performance conditions.</w:t>
      </w:r>
    </w:p>
    <w:p>
      <w:pPr>
        <w:spacing w:after="0" w:line="42" w:lineRule="exact"/>
        <w:rPr>
          <w:sz w:val="20"/>
          <w:szCs w:val="20"/>
          <w:color w:val="auto"/>
        </w:rPr>
      </w:pPr>
    </w:p>
    <w:p>
      <w:pPr>
        <w:ind w:left="120" w:right="60" w:hanging="112"/>
        <w:spacing w:after="0" w:line="219" w:lineRule="auto"/>
        <w:tabs>
          <w:tab w:leader="none" w:pos="12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Represents all compensation that would become due as the result of a change in control on December 31, 2020 including severance payments, bonuses, restricted stock unit awards, COBRA premiums and expenses and other miscellaneous items such as life insurance premiums, auto allowances and club dues provided for under applicable award and change-in-control agreements. United’s change-in-control agreements provide that the compensation and benefits provided for under those agreements shall be reduced or modified so that such payments will not be considered excess parachute payments under Section 280G of the Code if such reduction will allow the executive to receive a greater net after-tax amount than such executive would receive absent such reduction. Otherwise, the payments are not reduced. Reductions (as applicable) are applied dollar-to-dollar, first to cash compensation, so as to not reduce any portion of equity compensation. The change-in-control agreements contain restrictive covenants which provide that a portion of the severance payment shall be allocated to the restrictive covenant. Because the NEOs’ termination would have occurred prior to the initial</w:t>
      </w:r>
    </w:p>
    <w:p>
      <w:pPr>
        <w:spacing w:after="0" w:line="1" w:lineRule="exact"/>
        <w:rPr>
          <w:sz w:val="20"/>
          <w:szCs w:val="20"/>
          <w:color w:val="auto"/>
        </w:rPr>
      </w:pPr>
    </w:p>
    <w:p>
      <w:pPr>
        <w:ind w:left="120" w:right="100"/>
        <w:spacing w:after="0" w:line="232" w:lineRule="auto"/>
        <w:rPr>
          <w:sz w:val="20"/>
          <w:szCs w:val="20"/>
          <w:color w:val="auto"/>
        </w:rPr>
      </w:pPr>
      <w:r>
        <w:rPr>
          <w:rFonts w:ascii="Arial" w:cs="Arial" w:eastAsia="Arial" w:hAnsi="Arial"/>
          <w:sz w:val="14"/>
          <w:szCs w:val="14"/>
          <w:color w:val="auto"/>
        </w:rPr>
        <w:t>restriction period of one year and thirty days from the date of grant, the NEOs would forfeit all of their restricted stock units granted in 2020 upon termination. Therefore, 2020 grants of restricted stock units are not included in the calculations. Amounts in this column also include the following personal benefits: Harton (auto: $1,250/month, club: $2,055/month); Harralson (auto: $1,250/month, club: $1,729/month); Bradshaw (auto: $1,000/month, club: $585/month); Edwards: (auto: $1,000/month).</w:t>
      </w:r>
    </w:p>
    <w:p>
      <w:pPr>
        <w:ind w:left="120" w:hanging="112"/>
        <w:spacing w:after="0" w:line="180" w:lineRule="auto"/>
        <w:tabs>
          <w:tab w:leader="none" w:pos="120" w:val="left"/>
        </w:tabs>
        <w:numPr>
          <w:ilvl w:val="0"/>
          <w:numId w:val="67"/>
        </w:numPr>
        <w:rPr>
          <w:rFonts w:ascii="Arial" w:cs="Arial" w:eastAsia="Arial" w:hAnsi="Arial"/>
          <w:sz w:val="21"/>
          <w:szCs w:val="21"/>
          <w:color w:val="auto"/>
          <w:vertAlign w:val="superscript"/>
        </w:rPr>
      </w:pPr>
      <w:r>
        <w:rPr>
          <w:rFonts w:ascii="Arial" w:cs="Arial" w:eastAsia="Arial" w:hAnsi="Arial"/>
          <w:sz w:val="13"/>
          <w:szCs w:val="13"/>
          <w:color w:val="auto"/>
        </w:rPr>
        <w:t>In the event of death or disability:</w:t>
      </w:r>
    </w:p>
    <w:p>
      <w:pPr>
        <w:ind w:left="320" w:right="260" w:hanging="191"/>
        <w:spacing w:after="0" w:line="241" w:lineRule="auto"/>
        <w:tabs>
          <w:tab w:leader="none" w:pos="320" w:val="left"/>
        </w:tabs>
        <w:numPr>
          <w:ilvl w:val="1"/>
          <w:numId w:val="67"/>
        </w:numPr>
        <w:rPr>
          <w:rFonts w:ascii="Arial" w:cs="Arial" w:eastAsia="Arial" w:hAnsi="Arial"/>
          <w:sz w:val="14"/>
          <w:szCs w:val="14"/>
          <w:color w:val="auto"/>
        </w:rPr>
      </w:pPr>
      <w:r>
        <w:rPr>
          <w:rFonts w:ascii="Arial" w:cs="Arial" w:eastAsia="Arial" w:hAnsi="Arial"/>
          <w:sz w:val="14"/>
          <w:szCs w:val="14"/>
          <w:color w:val="auto"/>
        </w:rPr>
        <w:t>Each NEO would continue to vest during 2021 in the unvested portion of restricted stock units granted in 2017, 2018 and 2019 and the time-based restricted stock units granted in 2020 with the remaining unvested portions forfeited; and</w:t>
      </w:r>
    </w:p>
    <w:p>
      <w:pPr>
        <w:ind w:left="120" w:right="240" w:firstLine="9"/>
        <w:spacing w:after="0" w:line="258" w:lineRule="auto"/>
        <w:tabs>
          <w:tab w:leader="none" w:pos="309" w:val="left"/>
        </w:tabs>
        <w:numPr>
          <w:ilvl w:val="1"/>
          <w:numId w:val="67"/>
        </w:numPr>
        <w:rPr>
          <w:rFonts w:ascii="Arial" w:cs="Arial" w:eastAsia="Arial" w:hAnsi="Arial"/>
          <w:sz w:val="14"/>
          <w:szCs w:val="14"/>
          <w:color w:val="auto"/>
        </w:rPr>
      </w:pPr>
      <w:r>
        <w:rPr>
          <w:rFonts w:ascii="Arial" w:cs="Arial" w:eastAsia="Arial" w:hAnsi="Arial"/>
          <w:sz w:val="14"/>
          <w:szCs w:val="14"/>
          <w:color w:val="auto"/>
        </w:rPr>
        <w:t>The first vesting date for performance-based restricted stock units granted in 2020 occurs in 2022, so the entire grant would have been forfeited upon death or disability. Payment amounts may be reduced for awards that are subject to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Other than the severance agreements that we have with our NEOs, United has no other employment or severance agreements. Therefore, except as described herein, no severance benefit is payable and there is no continuation of benefit coverage in the event of an NEO’s voluntary or involuntary termination, retirement, disability or death.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Under our agreements, a “change in control” generally means any one of the following events:</w:t>
      </w:r>
    </w:p>
    <w:p>
      <w:pPr>
        <w:spacing w:after="0" w:line="198" w:lineRule="exact"/>
        <w:rPr>
          <w:sz w:val="20"/>
          <w:szCs w:val="20"/>
          <w:color w:val="auto"/>
        </w:rPr>
      </w:pPr>
    </w:p>
    <w:p>
      <w:pPr>
        <w:ind w:left="660" w:right="60" w:hanging="328"/>
        <w:spacing w:after="0" w:line="23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acquisition (other than from the Company) during the twelve (12) month period ending on the date of the most recent acquisition by any person of beneficial ownership of thirty percent (30%) or more of the combined voting power of the Company’s then outstanding voting securities excluding certain pre-existing owners of and certain entities that would be considered affiliates of the Company.</w:t>
      </w:r>
    </w:p>
    <w:p>
      <w:pPr>
        <w:spacing w:after="0" w:line="191" w:lineRule="exact"/>
        <w:rPr>
          <w:rFonts w:ascii="Arial" w:cs="Arial" w:eastAsia="Arial" w:hAnsi="Arial"/>
          <w:sz w:val="18"/>
          <w:szCs w:val="18"/>
          <w:color w:val="auto"/>
        </w:rPr>
      </w:pPr>
    </w:p>
    <w:p>
      <w:pPr>
        <w:ind w:left="660" w:right="40" w:hanging="328"/>
        <w:spacing w:after="0" w:line="23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 by shareholders of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(and provided no person acquires beneficial ownership of the Company’s then outstanding voting securities as described in the previous paragraph above) or (2) a complete liquidation or dissolution of the Company or an agreement for the sale or other disposition of all or substantially all of the assets of the Company.</w:t>
      </w:r>
    </w:p>
    <w:p>
      <w:pPr>
        <w:spacing w:after="0" w:line="194" w:lineRule="exact"/>
        <w:rPr>
          <w:rFonts w:ascii="Arial" w:cs="Arial" w:eastAsia="Arial" w:hAnsi="Arial"/>
          <w:sz w:val="18"/>
          <w:szCs w:val="18"/>
          <w:color w:val="auto"/>
        </w:rPr>
      </w:pPr>
    </w:p>
    <w:p>
      <w:pPr>
        <w:ind w:left="660" w:right="100" w:hanging="328"/>
        <w:spacing w:after="0" w:line="23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change in the composition of the Board during any twelve (12) month period such that the individuals who, as of the date of the particular agreement, constitute the Board (such Board shall be hereinafter referred to as the “Incumbent Board”) cease for any reason to constitute at least a majority of the Board; provided, however, for purposes of this definition that any individual who becomes a member of the Board subsequent to the date of an agreement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or other actual or threatened solicitation of proxies or consents by or on behalf of a person other than the Board, shall not be so considered as a member of the Incumbent Board.</w:t>
      </w:r>
    </w:p>
    <w:p>
      <w:pPr>
        <w:spacing w:after="0" w:line="19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Notwithstanding the foregoing, a change in control shall only be deemed to have occurred if the change in control also constitutes a change in the ownership or effective control of the Company, or a change in the ownership of a substantial portion of the assets of the Company, within the meaning of Section 409A of the Code. The foregoing also is only a summary of the change-in- control provisions of our various agreements, which are filed as exhibits to our Annual Report on Form 10-K. You are encouraged to review those agreements for additional information regarding the severance arrangements applicable to our NEOs.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spacing w:after="0"/>
        <w:rPr>
          <w:sz w:val="20"/>
          <w:szCs w:val="20"/>
          <w:color w:val="auto"/>
        </w:rPr>
      </w:pPr>
      <w:r>
        <w:rPr>
          <w:rFonts w:ascii="Arial" w:cs="Arial" w:eastAsia="Arial" w:hAnsi="Arial"/>
          <w:sz w:val="27"/>
          <w:szCs w:val="27"/>
          <w:b w:val="1"/>
          <w:bCs w:val="1"/>
          <w:color w:val="1077A9"/>
        </w:rPr>
        <w:t>Compensation Committee Interlocks and Insider Participation</w:t>
      </w:r>
    </w:p>
    <w:p>
      <w:pPr>
        <w:spacing w:after="0" w:line="23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No member who was a member of our Talent and Compensation Committee during all or a portion of 2020: (1) was at any time during 2020 an officer or employee, or was at any time prior to 2020 an officer, of United or any of our subsidiaries or (2) had any relationship requiring disclosure under Transactions with Management and Others. Also, none of our executive officers serves, or in the past fiscal year has served, as a director or compensation committee (or equivalent committee) member of any entity that has an executive officer serving as a United director or Talent and Compensation Committee member.</w:t>
      </w:r>
    </w:p>
    <w:p>
      <w:pPr>
        <w:spacing w:after="0" w:line="154"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Compensation Risk Considerations</w:t>
      </w:r>
    </w:p>
    <w:p>
      <w:pPr>
        <w:spacing w:after="0" w:line="23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SEC rules require the Talent and Compensation Committee to annually review our compensation policies and practices to determine if such policies and practices are reasonably likely to have a material adverse impact on us. The Committee also considers whether our employee compensation arrangements encourage excessive or unnecessary risk-taking by our NEOs, senior management and key employees and amends such arrangements, if necessary. As part of its review, the Talent and Compensation Committee considers the various risks to which we are subject including market, liquidity, interest rate, operational, financial, credit, reputational, compliance and strategic risks and how our incentive compensation programs, policies and practices may contribute to risk. The Talent and Compensation Committee also considers our controls and actions taken to mitigate and monitor those risks.</w:t>
      </w:r>
    </w:p>
    <w:p>
      <w:pPr>
        <w:spacing w:after="0" w:line="1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2020, following the completion of a detailed analysis, the Talent and Compensation Committee concluded that our compensation policies and practices appropriately balance risk and reward and align employee interests with shareholder interests based on the following observations:</w:t>
      </w:r>
    </w:p>
    <w:p>
      <w:pPr>
        <w:spacing w:after="0" w:line="189" w:lineRule="exact"/>
        <w:rPr>
          <w:sz w:val="20"/>
          <w:szCs w:val="20"/>
          <w:color w:val="auto"/>
        </w:rPr>
      </w:pPr>
    </w:p>
    <w:p>
      <w:pPr>
        <w:ind w:left="660" w:right="40" w:hanging="328"/>
        <w:spacing w:after="0" w:line="23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 for our executive officers is structured to consist of both fixed (annual base salary) and variable (annual nonequity and long-term equity incentives) compensation. The Talent and Compensation Committee believes that the variable elements provide an appropriate percentage of overall compensation to motivate executive officers to focus on our performance while the fixed element serves to provide an appropriate and fair compensation level that does not encourage executive officers to take unnecessary or excessive risks in achievement of goals.</w:t>
      </w:r>
    </w:p>
    <w:p>
      <w:pPr>
        <w:spacing w:after="0" w:line="188" w:lineRule="exact"/>
        <w:rPr>
          <w:rFonts w:ascii="Arial" w:cs="Arial" w:eastAsia="Arial" w:hAnsi="Arial"/>
          <w:sz w:val="18"/>
          <w:szCs w:val="18"/>
          <w:color w:val="auto"/>
        </w:rPr>
      </w:pPr>
    </w:p>
    <w:p>
      <w:pPr>
        <w:ind w:left="660" w:right="320" w:hanging="328"/>
        <w:spacing w:after="0" w:line="24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compensation program balances short-term and long-term performance and does not place inappropriate focus on achieving short-term results in a way that inhibits long-term, sustained performance.</w:t>
      </w:r>
    </w:p>
    <w:p>
      <w:pPr>
        <w:spacing w:after="0" w:line="183" w:lineRule="exact"/>
        <w:rPr>
          <w:rFonts w:ascii="Arial" w:cs="Arial" w:eastAsia="Arial" w:hAnsi="Arial"/>
          <w:sz w:val="18"/>
          <w:szCs w:val="18"/>
          <w:color w:val="auto"/>
        </w:rPr>
      </w:pPr>
    </w:p>
    <w:p>
      <w:pPr>
        <w:ind w:left="660" w:right="160" w:hanging="328"/>
        <w:spacing w:after="0" w:line="23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incentive programs covering the NEOs, including the annual nonequity incentive program and the long-term equity incentive program, are reviewed and approved by the Talent and Compensation Committee annually and typically include a threshold and target payment. The maximum payment is set at the target level of performance for the long-term equity incentive awards to ensure that payments do not exceed a certain level thereby maintaining the compensation mix for the NEOs within acceptable ranges and limiting excessive payments under any one element.</w:t>
      </w:r>
    </w:p>
    <w:p>
      <w:pPr>
        <w:spacing w:after="0" w:line="188" w:lineRule="exact"/>
        <w:rPr>
          <w:rFonts w:ascii="Arial" w:cs="Arial" w:eastAsia="Arial" w:hAnsi="Arial"/>
          <w:sz w:val="18"/>
          <w:szCs w:val="18"/>
          <w:color w:val="auto"/>
        </w:rPr>
      </w:pPr>
    </w:p>
    <w:p>
      <w:pPr>
        <w:ind w:left="660" w:right="1060" w:hanging="328"/>
        <w:spacing w:after="0" w:line="24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have internal controls over the measurement and calculation of performance metrics, which are designed to prevent manipulation of results by any employee including the executive officers.</w:t>
      </w:r>
    </w:p>
    <w:p>
      <w:pPr>
        <w:spacing w:after="0" w:line="183" w:lineRule="exact"/>
        <w:rPr>
          <w:rFonts w:ascii="Arial" w:cs="Arial" w:eastAsia="Arial" w:hAnsi="Arial"/>
          <w:sz w:val="18"/>
          <w:szCs w:val="18"/>
          <w:color w:val="auto"/>
        </w:rPr>
      </w:pPr>
    </w:p>
    <w:p>
      <w:pPr>
        <w:ind w:left="660" w:right="42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Talent and Compensation Committee has the discretion to modify any annual nonequity incentive payment, subject to plan parameters, allowing it to consider the circumstances surrounding corporate and/or individual performance and adjust payments accordingly.</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are appropriate internal controls and oversight of the approval and processing of payments.</w:t>
      </w:r>
    </w:p>
    <w:p>
      <w:pPr>
        <w:spacing w:after="0" w:line="198" w:lineRule="exact"/>
        <w:rPr>
          <w:rFonts w:ascii="Arial" w:cs="Arial" w:eastAsia="Arial" w:hAnsi="Arial"/>
          <w:sz w:val="18"/>
          <w:szCs w:val="18"/>
          <w:color w:val="auto"/>
        </w:rPr>
      </w:pPr>
    </w:p>
    <w:p>
      <w:pPr>
        <w:ind w:left="660" w:right="200" w:hanging="328"/>
        <w:spacing w:after="0" w:line="24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existing governance and organizational structure incorporates a substantial risk management component with oversight by the Board’s Risk Committee as well as various committees of management.</w:t>
      </w:r>
    </w:p>
    <w:p>
      <w:pPr>
        <w:spacing w:after="0" w:line="183" w:lineRule="exact"/>
        <w:rPr>
          <w:rFonts w:ascii="Arial" w:cs="Arial" w:eastAsia="Arial" w:hAnsi="Arial"/>
          <w:sz w:val="18"/>
          <w:szCs w:val="18"/>
          <w:color w:val="auto"/>
        </w:rPr>
      </w:pPr>
    </w:p>
    <w:p>
      <w:pPr>
        <w:ind w:left="660" w:right="10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Equity compensation generally currently consists of PRSUs and TRSUs. These grants encourage executive officers to take a long-term perspective on overall corporate performance, which ultimately influences share price appreciation. Equity compensation helps to motivate long-term performance, balancing the cash incentives in place to motivate short-term performance.</w:t>
      </w:r>
    </w:p>
    <w:p>
      <w:pPr>
        <w:spacing w:after="0" w:line="189" w:lineRule="exact"/>
        <w:rPr>
          <w:rFonts w:ascii="Arial" w:cs="Arial" w:eastAsia="Arial" w:hAnsi="Arial"/>
          <w:sz w:val="18"/>
          <w:szCs w:val="18"/>
          <w:color w:val="auto"/>
        </w:rPr>
      </w:pPr>
    </w:p>
    <w:p>
      <w:pPr>
        <w:ind w:left="660" w:right="40" w:hanging="328"/>
        <w:spacing w:after="0" w:line="23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Incentive compensation arrangements for lenders and other production-based employee groups are designed to support the business development characteristics of these groups. The compensation arrangements for these groups are assessed as part of our risk evaluation process to help determine control structures and plan designs that are consistent with the organizations risk tolerances. These plans generally include downward payout adjustments based on loan quality, clawback features and key customer service criteria.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2" w:name="page53"/>
    <w:bookmarkEnd w:id="52"/>
    <w:p>
      <w:pPr>
        <w:spacing w:after="0"/>
        <w:rPr>
          <w:sz w:val="20"/>
          <w:szCs w:val="20"/>
          <w:color w:val="auto"/>
        </w:rPr>
      </w:pPr>
      <w:r>
        <w:rPr>
          <w:rFonts w:ascii="Arial" w:cs="Arial" w:eastAsia="Arial" w:hAnsi="Arial"/>
          <w:sz w:val="27"/>
          <w:szCs w:val="27"/>
          <w:b w:val="1"/>
          <w:bCs w:val="1"/>
          <w:color w:val="1077A9"/>
        </w:rPr>
        <w:t>Pay Ratio Disclosure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required by Item 402(u) of Regulation S-K, we are providing the following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fiscal 2020, our last completed fiscal year:</w:t>
      </w:r>
    </w:p>
    <w:p>
      <w:pPr>
        <w:spacing w:after="0" w:line="198"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Mr. Harton), was $49,799;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annual total compensation of Mr. Harton, our CEO was $3,442,836.</w:t>
      </w:r>
    </w:p>
    <w:p>
      <w:pPr>
        <w:spacing w:after="0" w:line="19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Based on this information, the ratio for 2020 of the annual total compensation of our CEO to the median of the annual total compensation of all employees is 69 to 1.</w:t>
      </w:r>
    </w:p>
    <w:p>
      <w:pPr>
        <w:spacing w:after="0" w:line="18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completed the following steps to identify the median of the annual total compensation of all our employees and to determine the annual total compensation of our median employee and CEO:</w:t>
      </w:r>
    </w:p>
    <w:p>
      <w:pPr>
        <w:spacing w:after="0" w:line="183" w:lineRule="exact"/>
        <w:rPr>
          <w:sz w:val="20"/>
          <w:szCs w:val="20"/>
          <w:color w:val="auto"/>
        </w:rPr>
      </w:pPr>
    </w:p>
    <w:p>
      <w:pPr>
        <w:ind w:left="660" w:right="680" w:hanging="328"/>
        <w:spacing w:after="0" w:line="24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of December 31, 2020, our employee population consisted of approximately 2,408 individuals (2,407 excluding the CEO), including any full-time, part-time, temporary or seasonal employees employed on that date.</w:t>
      </w:r>
    </w:p>
    <w:p>
      <w:pPr>
        <w:spacing w:after="0" w:line="183" w:lineRule="exact"/>
        <w:rPr>
          <w:rFonts w:ascii="Arial" w:cs="Arial" w:eastAsia="Arial" w:hAnsi="Arial"/>
          <w:sz w:val="18"/>
          <w:szCs w:val="18"/>
          <w:color w:val="auto"/>
        </w:rPr>
      </w:pPr>
    </w:p>
    <w:p>
      <w:pPr>
        <w:ind w:left="660" w:right="280" w:hanging="328"/>
        <w:spacing w:after="0" w:line="23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find the median of the annual total compensation of all our employees (other than our CEO), we used wages from our payroll records as reported to the Internal Revenue Service on Form W-2 for fiscal 2020. In making this determination, we annualized the compensation of full-time and part-time permanent employees who were employed on December 31, 2020 but did not work for us the entire year. No full-time equivalent adjustments were made for part-time or temporary employees.</w:t>
      </w:r>
    </w:p>
    <w:p>
      <w:pPr>
        <w:spacing w:after="0" w:line="191" w:lineRule="exact"/>
        <w:rPr>
          <w:rFonts w:ascii="Arial" w:cs="Arial" w:eastAsia="Arial" w:hAnsi="Arial"/>
          <w:sz w:val="18"/>
          <w:szCs w:val="18"/>
          <w:color w:val="auto"/>
        </w:rPr>
      </w:pPr>
    </w:p>
    <w:p>
      <w:pPr>
        <w:ind w:left="660" w:right="480" w:hanging="328"/>
        <w:spacing w:after="0" w:line="24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identified a median employee using this compensation measure and methodology, which was consistently applied to all our employees included in the calculation.</w:t>
      </w:r>
    </w:p>
    <w:p>
      <w:pPr>
        <w:spacing w:after="0" w:line="183" w:lineRule="exact"/>
        <w:rPr>
          <w:rFonts w:ascii="Arial" w:cs="Arial" w:eastAsia="Arial" w:hAnsi="Arial"/>
          <w:sz w:val="18"/>
          <w:szCs w:val="18"/>
          <w:color w:val="auto"/>
        </w:rPr>
      </w:pPr>
    </w:p>
    <w:p>
      <w:pPr>
        <w:jc w:val="both"/>
        <w:ind w:left="660" w:right="760" w:hanging="328"/>
        <w:spacing w:after="0" w:line="274"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After identifying the median employee, we added together all of the elements of such employee’s compensation for 2020 in accordance with the requirements of Item 402(c)(2)(x) of Regulation S-K, resulting in annual total compensation of $49,799.</w:t>
      </w:r>
    </w:p>
    <w:p>
      <w:pPr>
        <w:spacing w:after="0" w:line="161" w:lineRule="exact"/>
        <w:rPr>
          <w:rFonts w:ascii="Arial" w:cs="Arial" w:eastAsia="Arial" w:hAnsi="Arial"/>
          <w:sz w:val="17"/>
          <w:szCs w:val="17"/>
          <w:color w:val="auto"/>
        </w:rPr>
      </w:pPr>
    </w:p>
    <w:p>
      <w:pPr>
        <w:ind w:left="660" w:right="220" w:hanging="328"/>
        <w:spacing w:after="0" w:line="24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our 2020 Summary Compensation Table herein.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3" w:name="page54"/>
    <w:bookmarkEnd w:id="53"/>
    <w:p>
      <w:pPr>
        <w:spacing w:after="0"/>
        <w:rPr>
          <w:sz w:val="20"/>
          <w:szCs w:val="20"/>
          <w:color w:val="auto"/>
        </w:rPr>
      </w:pPr>
      <w:r>
        <w:rPr>
          <w:rFonts w:ascii="Arial" w:cs="Arial" w:eastAsia="Arial" w:hAnsi="Arial"/>
          <w:sz w:val="36"/>
          <w:szCs w:val="36"/>
          <w:b w:val="1"/>
          <w:bCs w:val="1"/>
          <w:color w:val="143964"/>
        </w:rPr>
        <w:t>Security Ownership</w:t>
      </w:r>
    </w:p>
    <w:p>
      <w:pPr>
        <w:spacing w:after="0" w:line="25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following tables sets forth the amount of our voting common stock and Series I Non-Cumulative Preferred Stock (“Series I Preferred Stock”), if applicable, beneficially owned by the listed persons as of February 26, 2021.</w:t>
      </w:r>
    </w:p>
    <w:p>
      <w:pPr>
        <w:spacing w:after="0" w:line="149" w:lineRule="exact"/>
        <w:rPr>
          <w:sz w:val="20"/>
          <w:szCs w:val="20"/>
          <w:color w:val="auto"/>
        </w:rPr>
      </w:pPr>
    </w:p>
    <w:p>
      <w:pPr>
        <w:spacing w:after="0"/>
        <w:rPr>
          <w:sz w:val="20"/>
          <w:szCs w:val="20"/>
          <w:color w:val="auto"/>
        </w:rPr>
      </w:pPr>
      <w:r>
        <w:rPr>
          <w:rFonts w:ascii="Arial" w:cs="Arial" w:eastAsia="Arial" w:hAnsi="Arial"/>
          <w:sz w:val="27"/>
          <w:szCs w:val="27"/>
          <w:b w:val="1"/>
          <w:bCs w:val="1"/>
          <w:color w:val="1077A9"/>
        </w:rPr>
        <w:t>Security Ownership of Certain Beneficial Owners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80" w:type="dxa"/>
            <w:vAlign w:val="bottom"/>
            <w:shd w:val="clear" w:color="auto" w:fill="1077A9"/>
          </w:tcPr>
          <w:p>
            <w:pPr>
              <w:spacing w:after="0"/>
              <w:rPr>
                <w:sz w:val="19"/>
                <w:szCs w:val="19"/>
                <w:color w:val="auto"/>
              </w:rPr>
            </w:pPr>
          </w:p>
        </w:tc>
        <w:tc>
          <w:tcPr>
            <w:tcW w:w="3840" w:type="dxa"/>
            <w:vAlign w:val="bottom"/>
            <w:shd w:val="clear" w:color="auto" w:fill="1077A9"/>
          </w:tcPr>
          <w:p>
            <w:pPr>
              <w:jc w:val="center"/>
              <w:ind w:left="1728"/>
              <w:spacing w:after="0"/>
              <w:rPr>
                <w:sz w:val="20"/>
                <w:szCs w:val="20"/>
                <w:color w:val="auto"/>
              </w:rPr>
            </w:pPr>
            <w:r>
              <w:rPr>
                <w:rFonts w:ascii="Arial" w:cs="Arial" w:eastAsia="Arial" w:hAnsi="Arial"/>
                <w:sz w:val="14"/>
                <w:szCs w:val="14"/>
                <w:color w:val="FFFFFF"/>
              </w:rPr>
              <w:t>Number of Shares of</w:t>
            </w:r>
          </w:p>
        </w:tc>
        <w:tc>
          <w:tcPr>
            <w:tcW w:w="1520" w:type="dxa"/>
            <w:vAlign w:val="bottom"/>
            <w:shd w:val="clear" w:color="auto" w:fill="1077A9"/>
          </w:tcPr>
          <w:p>
            <w:pPr>
              <w:spacing w:after="0"/>
              <w:rPr>
                <w:sz w:val="19"/>
                <w:szCs w:val="19"/>
                <w:color w:val="auto"/>
              </w:rPr>
            </w:pPr>
          </w:p>
        </w:tc>
      </w:tr>
      <w:tr>
        <w:trPr>
          <w:trHeight w:val="143"/>
        </w:trPr>
        <w:tc>
          <w:tcPr>
            <w:tcW w:w="5880" w:type="dxa"/>
            <w:vAlign w:val="bottom"/>
            <w:shd w:val="clear" w:color="auto" w:fill="1077A9"/>
          </w:tcPr>
          <w:p>
            <w:pPr>
              <w:ind w:left="140"/>
              <w:spacing w:after="0" w:line="143" w:lineRule="exact"/>
              <w:rPr>
                <w:sz w:val="20"/>
                <w:szCs w:val="20"/>
                <w:color w:val="auto"/>
              </w:rPr>
            </w:pPr>
            <w:r>
              <w:rPr>
                <w:rFonts w:ascii="Arial" w:cs="Arial" w:eastAsia="Arial" w:hAnsi="Arial"/>
                <w:sz w:val="14"/>
                <w:szCs w:val="14"/>
                <w:color w:val="FFFFFF"/>
              </w:rPr>
              <w:t>Name and Address of Beneficial Owner</w:t>
            </w:r>
          </w:p>
        </w:tc>
        <w:tc>
          <w:tcPr>
            <w:tcW w:w="3840" w:type="dxa"/>
            <w:vAlign w:val="bottom"/>
            <w:shd w:val="clear" w:color="auto" w:fill="1077A9"/>
          </w:tcPr>
          <w:p>
            <w:pPr>
              <w:jc w:val="center"/>
              <w:ind w:left="1748"/>
              <w:spacing w:after="0" w:line="143" w:lineRule="exact"/>
              <w:rPr>
                <w:sz w:val="20"/>
                <w:szCs w:val="20"/>
                <w:color w:val="auto"/>
              </w:rPr>
            </w:pPr>
            <w:r>
              <w:rPr>
                <w:rFonts w:ascii="Arial" w:cs="Arial" w:eastAsia="Arial" w:hAnsi="Arial"/>
                <w:sz w:val="14"/>
                <w:szCs w:val="14"/>
                <w:color w:val="FFFFFF"/>
              </w:rPr>
              <w:t>Voting Common Stock</w:t>
            </w:r>
          </w:p>
        </w:tc>
        <w:tc>
          <w:tcPr>
            <w:tcW w:w="1520" w:type="dxa"/>
            <w:vAlign w:val="bottom"/>
            <w:shd w:val="clear" w:color="auto" w:fill="1077A9"/>
          </w:tcPr>
          <w:p>
            <w:pPr>
              <w:jc w:val="right"/>
              <w:ind w:right="228"/>
              <w:spacing w:after="0" w:line="143" w:lineRule="exact"/>
              <w:rPr>
                <w:sz w:val="20"/>
                <w:szCs w:val="20"/>
                <w:color w:val="auto"/>
              </w:rPr>
            </w:pPr>
            <w:r>
              <w:rPr>
                <w:rFonts w:ascii="Arial" w:cs="Arial" w:eastAsia="Arial" w:hAnsi="Arial"/>
                <w:sz w:val="14"/>
                <w:szCs w:val="14"/>
                <w:color w:val="FFFFFF"/>
              </w:rPr>
              <w:t>Percent of Class</w:t>
            </w:r>
          </w:p>
        </w:tc>
      </w:tr>
      <w:tr>
        <w:trPr>
          <w:trHeight w:val="230"/>
        </w:trPr>
        <w:tc>
          <w:tcPr>
            <w:tcW w:w="5880" w:type="dxa"/>
            <w:vAlign w:val="bottom"/>
            <w:shd w:val="clear" w:color="auto" w:fill="1077A9"/>
          </w:tcPr>
          <w:p>
            <w:pPr>
              <w:spacing w:after="0"/>
              <w:rPr>
                <w:sz w:val="20"/>
                <w:szCs w:val="20"/>
                <w:color w:val="auto"/>
              </w:rPr>
            </w:pPr>
          </w:p>
        </w:tc>
        <w:tc>
          <w:tcPr>
            <w:tcW w:w="3840" w:type="dxa"/>
            <w:vAlign w:val="bottom"/>
            <w:shd w:val="clear" w:color="auto" w:fill="1077A9"/>
          </w:tcPr>
          <w:p>
            <w:pPr>
              <w:jc w:val="center"/>
              <w:ind w:left="1768"/>
              <w:spacing w:after="0" w:line="230" w:lineRule="exact"/>
              <w:rPr>
                <w:sz w:val="20"/>
                <w:szCs w:val="20"/>
                <w:color w:val="auto"/>
              </w:rPr>
            </w:pPr>
            <w:r>
              <w:rPr>
                <w:rFonts w:ascii="Arial" w:cs="Arial" w:eastAsia="Arial" w:hAnsi="Arial"/>
                <w:sz w:val="14"/>
                <w:szCs w:val="14"/>
                <w:color w:val="FFFFFF"/>
              </w:rPr>
              <w:t>Beneficially Owned (#)</w:t>
            </w:r>
            <w:r>
              <w:rPr>
                <w:rFonts w:ascii="Arial" w:cs="Arial" w:eastAsia="Arial" w:hAnsi="Arial"/>
                <w:sz w:val="23"/>
                <w:szCs w:val="23"/>
                <w:color w:val="FFFFFF"/>
                <w:vertAlign w:val="superscript"/>
              </w:rPr>
              <w:t>1</w:t>
            </w:r>
          </w:p>
        </w:tc>
        <w:tc>
          <w:tcPr>
            <w:tcW w:w="1520" w:type="dxa"/>
            <w:vAlign w:val="bottom"/>
            <w:shd w:val="clear" w:color="auto" w:fill="1077A9"/>
          </w:tcPr>
          <w:p>
            <w:pPr>
              <w:spacing w:after="0"/>
              <w:rPr>
                <w:sz w:val="20"/>
                <w:szCs w:val="20"/>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4"/>
                <w:szCs w:val="14"/>
                <w:color w:val="auto"/>
              </w:rPr>
              <w:t>Beneficial Owners of 5% or More of Our Voting Securities</w:t>
            </w:r>
          </w:p>
        </w:tc>
        <w:tc>
          <w:tcPr>
            <w:tcW w:w="38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0"/>
        </w:trPr>
        <w:tc>
          <w:tcPr>
            <w:tcW w:w="5880" w:type="dxa"/>
            <w:vAlign w:val="bottom"/>
            <w:shd w:val="clear" w:color="auto" w:fill="E5E6E6"/>
          </w:tcPr>
          <w:p>
            <w:pPr>
              <w:ind w:left="140"/>
              <w:spacing w:after="0" w:line="181" w:lineRule="exact"/>
              <w:rPr>
                <w:sz w:val="20"/>
                <w:szCs w:val="20"/>
                <w:color w:val="auto"/>
              </w:rPr>
            </w:pPr>
            <w:r>
              <w:rPr>
                <w:rFonts w:ascii="Arial" w:cs="Arial" w:eastAsia="Arial" w:hAnsi="Arial"/>
                <w:sz w:val="13"/>
                <w:szCs w:val="13"/>
                <w:color w:val="auto"/>
              </w:rPr>
              <w:t>Blackrock, Inc.</w:t>
            </w:r>
            <w:r>
              <w:rPr>
                <w:rFonts w:ascii="Arial" w:cs="Arial" w:eastAsia="Arial" w:hAnsi="Arial"/>
                <w:sz w:val="20"/>
                <w:szCs w:val="20"/>
                <w:color w:val="auto"/>
                <w:vertAlign w:val="superscript"/>
              </w:rPr>
              <w:t>2</w:t>
            </w:r>
          </w:p>
        </w:tc>
        <w:tc>
          <w:tcPr>
            <w:tcW w:w="384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12,809,688</w:t>
            </w:r>
          </w:p>
        </w:tc>
        <w:tc>
          <w:tcPr>
            <w:tcW w:w="1520" w:type="dxa"/>
            <w:vAlign w:val="bottom"/>
            <w:shd w:val="clear" w:color="auto" w:fill="E5E6E6"/>
          </w:tcPr>
          <w:p>
            <w:pPr>
              <w:jc w:val="right"/>
              <w:spacing w:after="0"/>
              <w:rPr>
                <w:sz w:val="20"/>
                <w:szCs w:val="20"/>
                <w:color w:val="auto"/>
              </w:rPr>
            </w:pPr>
            <w:r>
              <w:rPr>
                <w:rFonts w:ascii="Arial" w:cs="Arial" w:eastAsia="Arial" w:hAnsi="Arial"/>
                <w:sz w:val="14"/>
                <w:szCs w:val="14"/>
                <w:color w:val="auto"/>
              </w:rPr>
              <w:t>14.8 %</w:t>
            </w:r>
          </w:p>
        </w:tc>
      </w:tr>
      <w:tr>
        <w:trPr>
          <w:trHeight w:val="162"/>
        </w:trPr>
        <w:tc>
          <w:tcPr>
            <w:tcW w:w="5880" w:type="dxa"/>
            <w:vAlign w:val="bottom"/>
            <w:shd w:val="clear" w:color="auto" w:fill="E5E6E6"/>
          </w:tcPr>
          <w:p>
            <w:pPr>
              <w:ind w:left="320"/>
              <w:spacing w:after="0"/>
              <w:rPr>
                <w:sz w:val="20"/>
                <w:szCs w:val="20"/>
                <w:color w:val="auto"/>
              </w:rPr>
            </w:pPr>
            <w:r>
              <w:rPr>
                <w:rFonts w:ascii="Arial" w:cs="Arial" w:eastAsia="Arial" w:hAnsi="Arial"/>
                <w:sz w:val="14"/>
                <w:szCs w:val="14"/>
                <w:color w:val="auto"/>
              </w:rPr>
              <w:t>55 East 52nd Street</w:t>
            </w:r>
          </w:p>
        </w:tc>
        <w:tc>
          <w:tcPr>
            <w:tcW w:w="3840" w:type="dxa"/>
            <w:vAlign w:val="bottom"/>
            <w:shd w:val="clear" w:color="auto" w:fill="E5E6E6"/>
          </w:tcPr>
          <w:p>
            <w:pPr>
              <w:spacing w:after="0"/>
              <w:rPr>
                <w:sz w:val="14"/>
                <w:szCs w:val="14"/>
                <w:color w:val="auto"/>
              </w:rPr>
            </w:pPr>
          </w:p>
        </w:tc>
        <w:tc>
          <w:tcPr>
            <w:tcW w:w="1520" w:type="dxa"/>
            <w:vAlign w:val="bottom"/>
            <w:shd w:val="clear" w:color="auto" w:fill="E5E6E6"/>
          </w:tcPr>
          <w:p>
            <w:pPr>
              <w:spacing w:after="0"/>
              <w:rPr>
                <w:sz w:val="14"/>
                <w:szCs w:val="14"/>
                <w:color w:val="auto"/>
              </w:rPr>
            </w:pPr>
          </w:p>
        </w:tc>
      </w:tr>
      <w:tr>
        <w:trPr>
          <w:trHeight w:val="171"/>
        </w:trPr>
        <w:tc>
          <w:tcPr>
            <w:tcW w:w="5880" w:type="dxa"/>
            <w:vAlign w:val="bottom"/>
            <w:shd w:val="clear" w:color="auto" w:fill="E5E6E6"/>
          </w:tcPr>
          <w:p>
            <w:pPr>
              <w:ind w:left="320"/>
              <w:spacing w:after="0"/>
              <w:rPr>
                <w:sz w:val="20"/>
                <w:szCs w:val="20"/>
                <w:color w:val="auto"/>
              </w:rPr>
            </w:pPr>
            <w:r>
              <w:rPr>
                <w:rFonts w:ascii="Arial" w:cs="Arial" w:eastAsia="Arial" w:hAnsi="Arial"/>
                <w:sz w:val="14"/>
                <w:szCs w:val="14"/>
                <w:color w:val="auto"/>
              </w:rPr>
              <w:t>New York, NY 10055</w:t>
            </w:r>
          </w:p>
        </w:tc>
        <w:tc>
          <w:tcPr>
            <w:tcW w:w="3840" w:type="dxa"/>
            <w:vAlign w:val="bottom"/>
            <w:shd w:val="clear" w:color="auto" w:fill="E5E6E6"/>
          </w:tcPr>
          <w:p>
            <w:pPr>
              <w:spacing w:after="0"/>
              <w:rPr>
                <w:sz w:val="14"/>
                <w:szCs w:val="14"/>
                <w:color w:val="auto"/>
              </w:rPr>
            </w:pPr>
          </w:p>
        </w:tc>
        <w:tc>
          <w:tcPr>
            <w:tcW w:w="1520" w:type="dxa"/>
            <w:vAlign w:val="bottom"/>
            <w:shd w:val="clear" w:color="auto" w:fill="E5E6E6"/>
          </w:tcPr>
          <w:p>
            <w:pPr>
              <w:spacing w:after="0"/>
              <w:rPr>
                <w:sz w:val="14"/>
                <w:szCs w:val="14"/>
                <w:color w:val="auto"/>
              </w:rPr>
            </w:pPr>
          </w:p>
        </w:tc>
      </w:tr>
      <w:tr>
        <w:trPr>
          <w:trHeight w:val="180"/>
        </w:trPr>
        <w:tc>
          <w:tcPr>
            <w:tcW w:w="5880" w:type="dxa"/>
            <w:vAlign w:val="bottom"/>
          </w:tcPr>
          <w:p>
            <w:pPr>
              <w:ind w:left="160"/>
              <w:spacing w:after="0" w:line="181" w:lineRule="exact"/>
              <w:rPr>
                <w:sz w:val="20"/>
                <w:szCs w:val="20"/>
                <w:color w:val="auto"/>
              </w:rPr>
            </w:pPr>
            <w:r>
              <w:rPr>
                <w:rFonts w:ascii="Arial" w:cs="Arial" w:eastAsia="Arial" w:hAnsi="Arial"/>
                <w:sz w:val="13"/>
                <w:szCs w:val="13"/>
                <w:color w:val="auto"/>
              </w:rPr>
              <w:t>The Vanguard Group</w:t>
            </w:r>
            <w:r>
              <w:rPr>
                <w:rFonts w:ascii="Arial" w:cs="Arial" w:eastAsia="Arial" w:hAnsi="Arial"/>
                <w:sz w:val="20"/>
                <w:szCs w:val="20"/>
                <w:color w:val="auto"/>
                <w:vertAlign w:val="superscript"/>
              </w:rPr>
              <w:t>3</w:t>
            </w:r>
          </w:p>
        </w:tc>
        <w:tc>
          <w:tcPr>
            <w:tcW w:w="3840" w:type="dxa"/>
            <w:vAlign w:val="bottom"/>
          </w:tcPr>
          <w:p>
            <w:pPr>
              <w:jc w:val="right"/>
              <w:ind w:right="88"/>
              <w:spacing w:after="0"/>
              <w:rPr>
                <w:sz w:val="20"/>
                <w:szCs w:val="20"/>
                <w:color w:val="auto"/>
              </w:rPr>
            </w:pPr>
            <w:r>
              <w:rPr>
                <w:rFonts w:ascii="Arial" w:cs="Arial" w:eastAsia="Arial" w:hAnsi="Arial"/>
                <w:sz w:val="14"/>
                <w:szCs w:val="14"/>
                <w:color w:val="auto"/>
              </w:rPr>
              <w:t>8,932,674</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10.3</w:t>
            </w:r>
          </w:p>
        </w:tc>
      </w:tr>
      <w:tr>
        <w:trPr>
          <w:trHeight w:val="162"/>
        </w:trPr>
        <w:tc>
          <w:tcPr>
            <w:tcW w:w="5880" w:type="dxa"/>
            <w:vAlign w:val="bottom"/>
          </w:tcPr>
          <w:p>
            <w:pPr>
              <w:ind w:left="320"/>
              <w:spacing w:after="0"/>
              <w:rPr>
                <w:sz w:val="20"/>
                <w:szCs w:val="20"/>
                <w:color w:val="auto"/>
              </w:rPr>
            </w:pPr>
            <w:r>
              <w:rPr>
                <w:rFonts w:ascii="Arial" w:cs="Arial" w:eastAsia="Arial" w:hAnsi="Arial"/>
                <w:sz w:val="14"/>
                <w:szCs w:val="14"/>
                <w:color w:val="auto"/>
              </w:rPr>
              <w:t>100 Vanguard Boulevard</w:t>
            </w:r>
          </w:p>
        </w:tc>
        <w:tc>
          <w:tcPr>
            <w:tcW w:w="38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5880" w:type="dxa"/>
            <w:vAlign w:val="bottom"/>
          </w:tcPr>
          <w:p>
            <w:pPr>
              <w:ind w:left="320"/>
              <w:spacing w:after="0"/>
              <w:rPr>
                <w:sz w:val="20"/>
                <w:szCs w:val="20"/>
                <w:color w:val="auto"/>
              </w:rPr>
            </w:pPr>
            <w:r>
              <w:rPr>
                <w:rFonts w:ascii="Arial" w:cs="Arial" w:eastAsia="Arial" w:hAnsi="Arial"/>
                <w:sz w:val="14"/>
                <w:szCs w:val="14"/>
                <w:color w:val="auto"/>
              </w:rPr>
              <w:t>Malvern, PA 19355</w:t>
            </w:r>
          </w:p>
        </w:tc>
        <w:tc>
          <w:tcPr>
            <w:tcW w:w="38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0"/>
        </w:trPr>
        <w:tc>
          <w:tcPr>
            <w:tcW w:w="5880" w:type="dxa"/>
            <w:vAlign w:val="bottom"/>
            <w:shd w:val="clear" w:color="auto" w:fill="E5E6E6"/>
          </w:tcPr>
          <w:p>
            <w:pPr>
              <w:ind w:left="160"/>
              <w:spacing w:after="0" w:line="181" w:lineRule="exact"/>
              <w:rPr>
                <w:sz w:val="20"/>
                <w:szCs w:val="20"/>
                <w:color w:val="auto"/>
              </w:rPr>
            </w:pPr>
            <w:r>
              <w:rPr>
                <w:rFonts w:ascii="Arial" w:cs="Arial" w:eastAsia="Arial" w:hAnsi="Arial"/>
                <w:sz w:val="13"/>
                <w:szCs w:val="13"/>
                <w:color w:val="auto"/>
              </w:rPr>
              <w:t xml:space="preserve">FMR LLC </w:t>
            </w:r>
            <w:r>
              <w:rPr>
                <w:rFonts w:ascii="Arial" w:cs="Arial" w:eastAsia="Arial" w:hAnsi="Arial"/>
                <w:sz w:val="20"/>
                <w:szCs w:val="20"/>
                <w:color w:val="auto"/>
                <w:vertAlign w:val="superscript"/>
              </w:rPr>
              <w:t>4</w:t>
            </w:r>
          </w:p>
        </w:tc>
        <w:tc>
          <w:tcPr>
            <w:tcW w:w="384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2,506,599</w:t>
            </w:r>
          </w:p>
        </w:tc>
        <w:tc>
          <w:tcPr>
            <w:tcW w:w="1520" w:type="dxa"/>
            <w:vAlign w:val="bottom"/>
            <w:shd w:val="clear" w:color="auto" w:fill="E5E6E6"/>
          </w:tcPr>
          <w:p>
            <w:pPr>
              <w:jc w:val="right"/>
              <w:ind w:right="88"/>
              <w:spacing w:after="0"/>
              <w:rPr>
                <w:sz w:val="20"/>
                <w:szCs w:val="20"/>
                <w:color w:val="auto"/>
              </w:rPr>
            </w:pPr>
            <w:r>
              <w:rPr>
                <w:rFonts w:ascii="Arial" w:cs="Arial" w:eastAsia="Arial" w:hAnsi="Arial"/>
                <w:sz w:val="14"/>
                <w:szCs w:val="14"/>
                <w:color w:val="auto"/>
              </w:rPr>
              <w:t>2.9</w:t>
            </w:r>
          </w:p>
        </w:tc>
      </w:tr>
      <w:tr>
        <w:trPr>
          <w:trHeight w:val="162"/>
        </w:trPr>
        <w:tc>
          <w:tcPr>
            <w:tcW w:w="5880" w:type="dxa"/>
            <w:vAlign w:val="bottom"/>
            <w:shd w:val="clear" w:color="auto" w:fill="E5E6E6"/>
          </w:tcPr>
          <w:p>
            <w:pPr>
              <w:ind w:left="320"/>
              <w:spacing w:after="0"/>
              <w:rPr>
                <w:sz w:val="20"/>
                <w:szCs w:val="20"/>
                <w:color w:val="auto"/>
              </w:rPr>
            </w:pPr>
            <w:r>
              <w:rPr>
                <w:rFonts w:ascii="Arial" w:cs="Arial" w:eastAsia="Arial" w:hAnsi="Arial"/>
                <w:sz w:val="14"/>
                <w:szCs w:val="14"/>
                <w:color w:val="auto"/>
              </w:rPr>
              <w:t>245 Summer Street</w:t>
            </w:r>
          </w:p>
        </w:tc>
        <w:tc>
          <w:tcPr>
            <w:tcW w:w="3840" w:type="dxa"/>
            <w:vAlign w:val="bottom"/>
            <w:shd w:val="clear" w:color="auto" w:fill="E5E6E6"/>
          </w:tcPr>
          <w:p>
            <w:pPr>
              <w:spacing w:after="0"/>
              <w:rPr>
                <w:sz w:val="14"/>
                <w:szCs w:val="14"/>
                <w:color w:val="auto"/>
              </w:rPr>
            </w:pPr>
          </w:p>
        </w:tc>
        <w:tc>
          <w:tcPr>
            <w:tcW w:w="1520" w:type="dxa"/>
            <w:vAlign w:val="bottom"/>
            <w:shd w:val="clear" w:color="auto" w:fill="E5E6E6"/>
          </w:tcPr>
          <w:p>
            <w:pPr>
              <w:spacing w:after="0"/>
              <w:rPr>
                <w:sz w:val="14"/>
                <w:szCs w:val="14"/>
                <w:color w:val="auto"/>
              </w:rPr>
            </w:pPr>
          </w:p>
        </w:tc>
      </w:tr>
      <w:tr>
        <w:trPr>
          <w:trHeight w:val="171"/>
        </w:trPr>
        <w:tc>
          <w:tcPr>
            <w:tcW w:w="5880" w:type="dxa"/>
            <w:vAlign w:val="bottom"/>
            <w:shd w:val="clear" w:color="auto" w:fill="E5E6E6"/>
          </w:tcPr>
          <w:p>
            <w:pPr>
              <w:ind w:left="320"/>
              <w:spacing w:after="0"/>
              <w:rPr>
                <w:sz w:val="20"/>
                <w:szCs w:val="20"/>
                <w:color w:val="auto"/>
              </w:rPr>
            </w:pPr>
            <w:r>
              <w:rPr>
                <w:rFonts w:ascii="Arial" w:cs="Arial" w:eastAsia="Arial" w:hAnsi="Arial"/>
                <w:sz w:val="14"/>
                <w:szCs w:val="14"/>
                <w:color w:val="auto"/>
              </w:rPr>
              <w:t>Boston, MA 02210</w:t>
            </w:r>
          </w:p>
        </w:tc>
        <w:tc>
          <w:tcPr>
            <w:tcW w:w="3840" w:type="dxa"/>
            <w:vAlign w:val="bottom"/>
            <w:shd w:val="clear" w:color="auto" w:fill="E5E6E6"/>
          </w:tcPr>
          <w:p>
            <w:pPr>
              <w:spacing w:after="0"/>
              <w:rPr>
                <w:sz w:val="14"/>
                <w:szCs w:val="14"/>
                <w:color w:val="auto"/>
              </w:rPr>
            </w:pPr>
          </w:p>
        </w:tc>
        <w:tc>
          <w:tcPr>
            <w:tcW w:w="1520" w:type="dxa"/>
            <w:vAlign w:val="bottom"/>
            <w:shd w:val="clear" w:color="auto" w:fill="E5E6E6"/>
          </w:tcPr>
          <w:p>
            <w:pPr>
              <w:spacing w:after="0"/>
              <w:rPr>
                <w:sz w:val="14"/>
                <w:szCs w:val="14"/>
                <w:color w:val="auto"/>
              </w:rPr>
            </w:pPr>
          </w:p>
        </w:tc>
      </w:tr>
    </w:tbl>
    <w:p>
      <w:pPr>
        <w:spacing w:after="0" w:line="39"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For purposes of this table, a person “beneficially owns” a security if that person has or shares voting or investment power or has the right to acquire beneficial ownership</w:t>
      </w:r>
    </w:p>
    <w:p>
      <w:pPr>
        <w:ind w:left="340"/>
        <w:spacing w:after="0" w:line="213" w:lineRule="auto"/>
        <w:rPr>
          <w:sz w:val="20"/>
          <w:szCs w:val="20"/>
          <w:color w:val="auto"/>
        </w:rPr>
      </w:pPr>
      <w:r>
        <w:rPr>
          <w:rFonts w:ascii="Arial" w:cs="Arial" w:eastAsia="Arial" w:hAnsi="Arial"/>
          <w:sz w:val="14"/>
          <w:szCs w:val="14"/>
          <w:color w:val="auto"/>
        </w:rPr>
        <w:t>within 60 days. Unless otherwise noted, to our knowledge, these persons have sole investment and voting power over the shares listed.</w:t>
      </w:r>
    </w:p>
    <w:p>
      <w:pPr>
        <w:spacing w:after="0" w:line="19" w:lineRule="exact"/>
        <w:rPr>
          <w:sz w:val="20"/>
          <w:szCs w:val="20"/>
          <w:color w:val="auto"/>
        </w:rPr>
      </w:pPr>
    </w:p>
    <w:p>
      <w:pPr>
        <w:ind w:left="340" w:right="20" w:hanging="332"/>
        <w:spacing w:after="0" w:line="182"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3"/>
          <w:szCs w:val="13"/>
          <w:color w:val="auto"/>
        </w:rPr>
        <w:t>Based solely on information contained in the Schedule 13G/A filed by BlackRock, Inc. with the SEC on January 26, 2021 indicating sole voting power relative to 12,530,916 shares of common stock as of December 31, 2020 and sole dispositive power relative to 12,809,688 shares of common stock as of December 31, 2020.</w:t>
      </w:r>
    </w:p>
    <w:p>
      <w:pPr>
        <w:spacing w:after="0" w:line="19" w:lineRule="exact"/>
        <w:rPr>
          <w:sz w:val="20"/>
          <w:szCs w:val="20"/>
          <w:color w:val="auto"/>
        </w:rPr>
      </w:pPr>
    </w:p>
    <w:p>
      <w:pPr>
        <w:ind w:left="340" w:right="80" w:hanging="332"/>
        <w:spacing w:after="0" w:line="182" w:lineRule="auto"/>
        <w:tabs>
          <w:tab w:leader="none" w:pos="34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Based solely on information contained in the Schedule 13G/A filed by The Vanguard Group with the SEC on February 10, 2021 indicating shared voting power relative to 80,428 shares of common stock, sole dispositive power relative to 8,783,925 shares of common stock and shared dispositive power relative to 148,749 shares of common</w:t>
      </w:r>
    </w:p>
    <w:p>
      <w:pPr>
        <w:ind w:left="340"/>
        <w:spacing w:after="0" w:line="215" w:lineRule="auto"/>
        <w:rPr>
          <w:sz w:val="20"/>
          <w:szCs w:val="20"/>
          <w:color w:val="auto"/>
        </w:rPr>
      </w:pPr>
      <w:r>
        <w:rPr>
          <w:rFonts w:ascii="Arial" w:cs="Arial" w:eastAsia="Arial" w:hAnsi="Arial"/>
          <w:sz w:val="14"/>
          <w:szCs w:val="14"/>
          <w:color w:val="auto"/>
        </w:rPr>
        <w:t>stock as of December 31, 2020.</w:t>
      </w:r>
    </w:p>
    <w:p>
      <w:pPr>
        <w:spacing w:after="0" w:line="19" w:lineRule="exact"/>
        <w:rPr>
          <w:sz w:val="20"/>
          <w:szCs w:val="20"/>
          <w:color w:val="auto"/>
        </w:rPr>
      </w:pPr>
    </w:p>
    <w:p>
      <w:pPr>
        <w:ind w:left="340" w:right="140" w:hanging="332"/>
        <w:spacing w:after="0" w:line="183" w:lineRule="auto"/>
        <w:tabs>
          <w:tab w:leader="none" w:pos="3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Based solely on information contained in the Schedule 13G/A filed by FMR LLC with the SEC on February 8, 2021 indicating sole voting power relative to 790,745 shares of common stock and sole dispositive power relative to 2,506,599 shares of common stock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54" w:name="page55"/>
    <w:bookmarkEnd w:id="54"/>
    <w:p>
      <w:pPr>
        <w:spacing w:after="0"/>
        <w:rPr>
          <w:sz w:val="20"/>
          <w:szCs w:val="20"/>
          <w:color w:val="auto"/>
        </w:rPr>
      </w:pPr>
      <w:r>
        <w:rPr>
          <w:rFonts w:ascii="Arial" w:cs="Arial" w:eastAsia="Arial" w:hAnsi="Arial"/>
          <w:sz w:val="27"/>
          <w:szCs w:val="27"/>
          <w:b w:val="1"/>
          <w:bCs w:val="1"/>
          <w:color w:val="1077A9"/>
        </w:rPr>
        <w:t>Security Ownership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125095</wp:posOffset>
            </wp:positionV>
            <wp:extent cx="17145" cy="3771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3771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125095</wp:posOffset>
            </wp:positionV>
            <wp:extent cx="17145" cy="3771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 cy="3771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125095</wp:posOffset>
            </wp:positionV>
            <wp:extent cx="17145" cy="3771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 cy="3771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125095</wp:posOffset>
            </wp:positionV>
            <wp:extent cx="17145" cy="3771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 cy="3771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60" w:type="dxa"/>
            <w:vAlign w:val="bottom"/>
            <w:shd w:val="clear" w:color="auto" w:fill="1077A9"/>
          </w:tcPr>
          <w:p>
            <w:pPr>
              <w:spacing w:after="0"/>
              <w:rPr>
                <w:sz w:val="19"/>
                <w:szCs w:val="19"/>
                <w:color w:val="auto"/>
              </w:rPr>
            </w:pPr>
          </w:p>
        </w:tc>
        <w:tc>
          <w:tcPr>
            <w:tcW w:w="1960" w:type="dxa"/>
            <w:vAlign w:val="bottom"/>
            <w:shd w:val="clear" w:color="auto" w:fill="1077A9"/>
          </w:tcPr>
          <w:p>
            <w:pPr>
              <w:jc w:val="center"/>
              <w:spacing w:after="0"/>
              <w:rPr>
                <w:sz w:val="20"/>
                <w:szCs w:val="20"/>
                <w:color w:val="auto"/>
              </w:rPr>
            </w:pPr>
            <w:r>
              <w:rPr>
                <w:rFonts w:ascii="Arial" w:cs="Arial" w:eastAsia="Arial" w:hAnsi="Arial"/>
                <w:sz w:val="14"/>
                <w:szCs w:val="14"/>
                <w:color w:val="FFFFFF"/>
              </w:rPr>
              <w:t>Number of Shares of</w:t>
            </w:r>
          </w:p>
        </w:tc>
        <w:tc>
          <w:tcPr>
            <w:tcW w:w="1580" w:type="dxa"/>
            <w:vAlign w:val="bottom"/>
            <w:vMerge w:val="restart"/>
            <w:shd w:val="clear" w:color="auto" w:fill="1077A9"/>
          </w:tcPr>
          <w:p>
            <w:pPr>
              <w:jc w:val="right"/>
              <w:ind w:right="148"/>
              <w:spacing w:after="0"/>
              <w:rPr>
                <w:sz w:val="20"/>
                <w:szCs w:val="20"/>
                <w:color w:val="auto"/>
              </w:rPr>
            </w:pPr>
            <w:r>
              <w:rPr>
                <w:rFonts w:ascii="Arial" w:cs="Arial" w:eastAsia="Arial" w:hAnsi="Arial"/>
                <w:sz w:val="14"/>
                <w:szCs w:val="14"/>
                <w:color w:val="FFFFFF"/>
              </w:rPr>
              <w:t>Percent of Class</w:t>
            </w:r>
            <w:r>
              <w:rPr>
                <w:rFonts w:ascii="Arial" w:cs="Arial" w:eastAsia="Arial" w:hAnsi="Arial"/>
                <w:sz w:val="23"/>
                <w:szCs w:val="23"/>
                <w:color w:val="FFFFFF"/>
                <w:vertAlign w:val="superscript"/>
              </w:rPr>
              <w:t>2</w:t>
            </w:r>
          </w:p>
        </w:tc>
        <w:tc>
          <w:tcPr>
            <w:tcW w:w="2180" w:type="dxa"/>
            <w:vAlign w:val="bottom"/>
            <w:vMerge w:val="restart"/>
            <w:shd w:val="clear" w:color="auto" w:fill="1077A9"/>
          </w:tcPr>
          <w:p>
            <w:pPr>
              <w:jc w:val="right"/>
              <w:ind w:right="328"/>
              <w:spacing w:after="0"/>
              <w:rPr>
                <w:sz w:val="20"/>
                <w:szCs w:val="20"/>
                <w:color w:val="auto"/>
              </w:rPr>
            </w:pPr>
            <w:r>
              <w:rPr>
                <w:rFonts w:ascii="Arial" w:cs="Arial" w:eastAsia="Arial" w:hAnsi="Arial"/>
                <w:sz w:val="14"/>
                <w:szCs w:val="14"/>
                <w:color w:val="FFFFFF"/>
              </w:rPr>
              <w:t>Number of Shares of</w:t>
            </w:r>
          </w:p>
        </w:tc>
        <w:tc>
          <w:tcPr>
            <w:tcW w:w="1460" w:type="dxa"/>
            <w:vAlign w:val="bottom"/>
            <w:vMerge w:val="restart"/>
            <w:shd w:val="clear" w:color="auto" w:fill="1077A9"/>
          </w:tcPr>
          <w:p>
            <w:pPr>
              <w:jc w:val="right"/>
              <w:ind w:right="88"/>
              <w:spacing w:after="0"/>
              <w:rPr>
                <w:sz w:val="20"/>
                <w:szCs w:val="20"/>
                <w:color w:val="auto"/>
              </w:rPr>
            </w:pPr>
            <w:r>
              <w:rPr>
                <w:rFonts w:ascii="Arial" w:cs="Arial" w:eastAsia="Arial" w:hAnsi="Arial"/>
                <w:sz w:val="14"/>
                <w:szCs w:val="14"/>
                <w:color w:val="FFFFFF"/>
              </w:rPr>
              <w:t>Percent of Class</w:t>
            </w:r>
            <w:r>
              <w:rPr>
                <w:rFonts w:ascii="Arial" w:cs="Arial" w:eastAsia="Arial" w:hAnsi="Arial"/>
                <w:sz w:val="23"/>
                <w:szCs w:val="23"/>
                <w:color w:val="FFFFFF"/>
                <w:vertAlign w:val="superscript"/>
              </w:rPr>
              <w:t>4</w:t>
            </w:r>
          </w:p>
        </w:tc>
        <w:tc>
          <w:tcPr>
            <w:tcW w:w="0" w:type="dxa"/>
            <w:vAlign w:val="bottom"/>
          </w:tcPr>
          <w:p>
            <w:pPr>
              <w:spacing w:after="0"/>
              <w:rPr>
                <w:sz w:val="1"/>
                <w:szCs w:val="1"/>
                <w:color w:val="auto"/>
              </w:rPr>
            </w:pPr>
          </w:p>
        </w:tc>
      </w:tr>
      <w:tr>
        <w:trPr>
          <w:trHeight w:val="62"/>
        </w:trPr>
        <w:tc>
          <w:tcPr>
            <w:tcW w:w="4060" w:type="dxa"/>
            <w:vAlign w:val="bottom"/>
            <w:vMerge w:val="restart"/>
            <w:shd w:val="clear" w:color="auto" w:fill="1077A9"/>
          </w:tcPr>
          <w:p>
            <w:pPr>
              <w:ind w:left="140"/>
              <w:spacing w:after="0" w:line="143" w:lineRule="exact"/>
              <w:rPr>
                <w:sz w:val="20"/>
                <w:szCs w:val="20"/>
                <w:color w:val="auto"/>
              </w:rPr>
            </w:pPr>
            <w:r>
              <w:rPr>
                <w:rFonts w:ascii="Arial" w:cs="Arial" w:eastAsia="Arial" w:hAnsi="Arial"/>
                <w:sz w:val="14"/>
                <w:szCs w:val="14"/>
                <w:color w:val="FFFFFF"/>
              </w:rPr>
              <w:t>Name of Beneficial Owner</w:t>
            </w:r>
          </w:p>
        </w:tc>
        <w:tc>
          <w:tcPr>
            <w:tcW w:w="1960" w:type="dxa"/>
            <w:vAlign w:val="bottom"/>
            <w:vMerge w:val="restart"/>
            <w:shd w:val="clear" w:color="auto" w:fill="1077A9"/>
          </w:tcPr>
          <w:p>
            <w:pPr>
              <w:jc w:val="center"/>
              <w:spacing w:after="0" w:line="143" w:lineRule="exact"/>
              <w:rPr>
                <w:sz w:val="20"/>
                <w:szCs w:val="20"/>
                <w:color w:val="auto"/>
              </w:rPr>
            </w:pPr>
            <w:r>
              <w:rPr>
                <w:rFonts w:ascii="Arial" w:cs="Arial" w:eastAsia="Arial" w:hAnsi="Arial"/>
                <w:sz w:val="14"/>
                <w:szCs w:val="14"/>
                <w:color w:val="FFFFFF"/>
              </w:rPr>
              <w:t>Voting Common Stock</w:t>
            </w:r>
          </w:p>
        </w:tc>
        <w:tc>
          <w:tcPr>
            <w:tcW w:w="1580" w:type="dxa"/>
            <w:vAlign w:val="bottom"/>
            <w:vMerge w:val="continue"/>
            <w:shd w:val="clear" w:color="auto" w:fill="1077A9"/>
          </w:tcPr>
          <w:p>
            <w:pPr>
              <w:spacing w:after="0"/>
              <w:rPr>
                <w:sz w:val="5"/>
                <w:szCs w:val="5"/>
                <w:color w:val="auto"/>
              </w:rPr>
            </w:pPr>
          </w:p>
        </w:tc>
        <w:tc>
          <w:tcPr>
            <w:tcW w:w="2180" w:type="dxa"/>
            <w:vAlign w:val="bottom"/>
            <w:vMerge w:val="continue"/>
            <w:shd w:val="clear" w:color="auto" w:fill="1077A9"/>
          </w:tcPr>
          <w:p>
            <w:pPr>
              <w:spacing w:after="0"/>
              <w:rPr>
                <w:sz w:val="5"/>
                <w:szCs w:val="5"/>
                <w:color w:val="auto"/>
              </w:rPr>
            </w:pPr>
          </w:p>
        </w:tc>
        <w:tc>
          <w:tcPr>
            <w:tcW w:w="1460" w:type="dxa"/>
            <w:vAlign w:val="bottom"/>
            <w:vMerge w:val="continue"/>
            <w:shd w:val="clear" w:color="auto" w:fill="1077A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60" w:type="dxa"/>
            <w:vAlign w:val="bottom"/>
            <w:vMerge w:val="continue"/>
            <w:shd w:val="clear" w:color="auto" w:fill="1077A9"/>
          </w:tcPr>
          <w:p>
            <w:pPr>
              <w:spacing w:after="0"/>
              <w:rPr>
                <w:sz w:val="7"/>
                <w:szCs w:val="7"/>
                <w:color w:val="auto"/>
              </w:rPr>
            </w:pPr>
          </w:p>
        </w:tc>
        <w:tc>
          <w:tcPr>
            <w:tcW w:w="1960" w:type="dxa"/>
            <w:vAlign w:val="bottom"/>
            <w:vMerge w:val="continue"/>
            <w:shd w:val="clear" w:color="auto" w:fill="1077A9"/>
          </w:tcPr>
          <w:p>
            <w:pPr>
              <w:spacing w:after="0"/>
              <w:rPr>
                <w:sz w:val="7"/>
                <w:szCs w:val="7"/>
                <w:color w:val="auto"/>
              </w:rPr>
            </w:pPr>
          </w:p>
        </w:tc>
        <w:tc>
          <w:tcPr>
            <w:tcW w:w="1580" w:type="dxa"/>
            <w:vAlign w:val="bottom"/>
            <w:vMerge w:val="continue"/>
            <w:shd w:val="clear" w:color="auto" w:fill="1077A9"/>
          </w:tcPr>
          <w:p>
            <w:pPr>
              <w:spacing w:after="0"/>
              <w:rPr>
                <w:sz w:val="7"/>
                <w:szCs w:val="7"/>
                <w:color w:val="auto"/>
              </w:rPr>
            </w:pPr>
          </w:p>
        </w:tc>
        <w:tc>
          <w:tcPr>
            <w:tcW w:w="2180" w:type="dxa"/>
            <w:vAlign w:val="bottom"/>
            <w:vMerge w:val="restart"/>
            <w:shd w:val="clear" w:color="auto" w:fill="1077A9"/>
          </w:tcPr>
          <w:p>
            <w:pPr>
              <w:jc w:val="right"/>
              <w:ind w:right="88"/>
              <w:spacing w:after="0" w:line="230" w:lineRule="exact"/>
              <w:rPr>
                <w:sz w:val="20"/>
                <w:szCs w:val="20"/>
                <w:color w:val="auto"/>
              </w:rPr>
            </w:pPr>
            <w:r>
              <w:rPr>
                <w:rFonts w:ascii="Arial" w:cs="Arial" w:eastAsia="Arial" w:hAnsi="Arial"/>
                <w:sz w:val="14"/>
                <w:szCs w:val="14"/>
                <w:color w:val="FFFFFF"/>
              </w:rPr>
              <w:t>Series I Preferred Stock (#)</w:t>
            </w:r>
            <w:r>
              <w:rPr>
                <w:rFonts w:ascii="Arial" w:cs="Arial" w:eastAsia="Arial" w:hAnsi="Arial"/>
                <w:sz w:val="23"/>
                <w:szCs w:val="23"/>
                <w:color w:val="FFFFFF"/>
                <w:vertAlign w:val="superscript"/>
              </w:rPr>
              <w:t>3</w:t>
            </w:r>
          </w:p>
        </w:tc>
        <w:tc>
          <w:tcPr>
            <w:tcW w:w="1460" w:type="dxa"/>
            <w:vAlign w:val="bottom"/>
            <w:vMerge w:val="continue"/>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1077A9"/>
          </w:tcPr>
          <w:p>
            <w:pPr>
              <w:spacing w:after="0"/>
              <w:rPr>
                <w:sz w:val="12"/>
                <w:szCs w:val="12"/>
                <w:color w:val="auto"/>
              </w:rPr>
            </w:pPr>
          </w:p>
        </w:tc>
        <w:tc>
          <w:tcPr>
            <w:tcW w:w="1960" w:type="dxa"/>
            <w:vAlign w:val="bottom"/>
            <w:vMerge w:val="restart"/>
            <w:shd w:val="clear" w:color="auto" w:fill="1077A9"/>
          </w:tcPr>
          <w:p>
            <w:pPr>
              <w:jc w:val="center"/>
              <w:spacing w:after="0" w:line="230" w:lineRule="exact"/>
              <w:rPr>
                <w:sz w:val="20"/>
                <w:szCs w:val="20"/>
                <w:color w:val="auto"/>
              </w:rPr>
            </w:pPr>
            <w:r>
              <w:rPr>
                <w:rFonts w:ascii="Arial" w:cs="Arial" w:eastAsia="Arial" w:hAnsi="Arial"/>
                <w:sz w:val="14"/>
                <w:szCs w:val="14"/>
                <w:color w:val="FFFFFF"/>
              </w:rPr>
              <w:t>Beneficially Owned (#)</w:t>
            </w:r>
            <w:r>
              <w:rPr>
                <w:rFonts w:ascii="Arial" w:cs="Arial" w:eastAsia="Arial" w:hAnsi="Arial"/>
                <w:sz w:val="23"/>
                <w:szCs w:val="23"/>
                <w:color w:val="FFFFFF"/>
                <w:vertAlign w:val="superscript"/>
              </w:rPr>
              <w:t>1</w:t>
            </w:r>
          </w:p>
        </w:tc>
        <w:tc>
          <w:tcPr>
            <w:tcW w:w="1580" w:type="dxa"/>
            <w:vAlign w:val="bottom"/>
            <w:shd w:val="clear" w:color="auto" w:fill="1077A9"/>
          </w:tcPr>
          <w:p>
            <w:pPr>
              <w:spacing w:after="0"/>
              <w:rPr>
                <w:sz w:val="12"/>
                <w:szCs w:val="12"/>
                <w:color w:val="auto"/>
              </w:rPr>
            </w:pPr>
          </w:p>
        </w:tc>
        <w:tc>
          <w:tcPr>
            <w:tcW w:w="2180" w:type="dxa"/>
            <w:vAlign w:val="bottom"/>
            <w:vMerge w:val="continue"/>
            <w:shd w:val="clear" w:color="auto" w:fill="1077A9"/>
          </w:tcPr>
          <w:p>
            <w:pPr>
              <w:spacing w:after="0"/>
              <w:rPr>
                <w:sz w:val="12"/>
                <w:szCs w:val="12"/>
                <w:color w:val="auto"/>
              </w:rPr>
            </w:pPr>
          </w:p>
        </w:tc>
        <w:tc>
          <w:tcPr>
            <w:tcW w:w="1460" w:type="dxa"/>
            <w:vAlign w:val="bottom"/>
            <w:shd w:val="clear" w:color="auto" w:fill="1077A9"/>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60" w:type="dxa"/>
            <w:vAlign w:val="bottom"/>
            <w:shd w:val="clear" w:color="auto" w:fill="1077A9"/>
          </w:tcPr>
          <w:p>
            <w:pPr>
              <w:spacing w:after="0"/>
              <w:rPr>
                <w:sz w:val="7"/>
                <w:szCs w:val="7"/>
                <w:color w:val="auto"/>
              </w:rPr>
            </w:pPr>
          </w:p>
        </w:tc>
        <w:tc>
          <w:tcPr>
            <w:tcW w:w="1960" w:type="dxa"/>
            <w:vAlign w:val="bottom"/>
            <w:vMerge w:val="continue"/>
            <w:shd w:val="clear" w:color="auto" w:fill="1077A9"/>
          </w:tcPr>
          <w:p>
            <w:pPr>
              <w:spacing w:after="0"/>
              <w:rPr>
                <w:sz w:val="7"/>
                <w:szCs w:val="7"/>
                <w:color w:val="auto"/>
              </w:rPr>
            </w:pPr>
          </w:p>
        </w:tc>
        <w:tc>
          <w:tcPr>
            <w:tcW w:w="1580" w:type="dxa"/>
            <w:vAlign w:val="bottom"/>
            <w:shd w:val="clear" w:color="auto" w:fill="1077A9"/>
          </w:tcPr>
          <w:p>
            <w:pPr>
              <w:spacing w:after="0"/>
              <w:rPr>
                <w:sz w:val="7"/>
                <w:szCs w:val="7"/>
                <w:color w:val="auto"/>
              </w:rPr>
            </w:pPr>
          </w:p>
        </w:tc>
        <w:tc>
          <w:tcPr>
            <w:tcW w:w="2180" w:type="dxa"/>
            <w:vAlign w:val="bottom"/>
            <w:shd w:val="clear" w:color="auto" w:fill="1077A9"/>
          </w:tcPr>
          <w:p>
            <w:pPr>
              <w:spacing w:after="0"/>
              <w:rPr>
                <w:sz w:val="7"/>
                <w:szCs w:val="7"/>
                <w:color w:val="auto"/>
              </w:rPr>
            </w:pPr>
          </w:p>
        </w:tc>
        <w:tc>
          <w:tcPr>
            <w:tcW w:w="1460" w:type="dxa"/>
            <w:vAlign w:val="bottom"/>
            <w:shd w:val="clear" w:color="auto" w:fill="1077A9"/>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160"/>
              <w:spacing w:after="0"/>
              <w:rPr>
                <w:sz w:val="20"/>
                <w:szCs w:val="20"/>
                <w:color w:val="auto"/>
              </w:rPr>
            </w:pPr>
            <w:r>
              <w:rPr>
                <w:rFonts w:ascii="Arial" w:cs="Arial" w:eastAsia="Arial" w:hAnsi="Arial"/>
                <w:sz w:val="14"/>
                <w:szCs w:val="14"/>
                <w:color w:val="auto"/>
              </w:rPr>
              <w:t>Directors and Nominees for Director</w:t>
            </w: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320"/>
              <w:spacing w:after="0" w:line="189" w:lineRule="exact"/>
              <w:rPr>
                <w:sz w:val="20"/>
                <w:szCs w:val="20"/>
                <w:color w:val="auto"/>
              </w:rPr>
            </w:pPr>
            <w:r>
              <w:rPr>
                <w:rFonts w:ascii="Arial" w:cs="Arial" w:eastAsia="Arial" w:hAnsi="Arial"/>
                <w:sz w:val="13"/>
                <w:szCs w:val="13"/>
                <w:color w:val="auto"/>
              </w:rPr>
              <w:t>Robert H. Blalock</w:t>
            </w:r>
            <w:r>
              <w:rPr>
                <w:rFonts w:ascii="Arial" w:cs="Arial" w:eastAsia="Arial" w:hAnsi="Arial"/>
                <w:sz w:val="21"/>
                <w:szCs w:val="21"/>
                <w:color w:val="auto"/>
                <w:vertAlign w:val="superscript"/>
              </w:rPr>
              <w:t>5</w:t>
            </w:r>
          </w:p>
        </w:tc>
        <w:tc>
          <w:tcPr>
            <w:tcW w:w="196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42,603</w:t>
            </w:r>
          </w:p>
        </w:tc>
        <w:tc>
          <w:tcPr>
            <w:tcW w:w="158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tcPr>
          <w:p>
            <w:pPr>
              <w:ind w:left="320"/>
              <w:spacing w:after="0"/>
              <w:rPr>
                <w:sz w:val="20"/>
                <w:szCs w:val="20"/>
                <w:color w:val="auto"/>
              </w:rPr>
            </w:pPr>
            <w:r>
              <w:rPr>
                <w:rFonts w:ascii="Arial" w:cs="Arial" w:eastAsia="Arial" w:hAnsi="Arial"/>
                <w:sz w:val="14"/>
                <w:szCs w:val="14"/>
                <w:color w:val="auto"/>
              </w:rPr>
              <w:t>James P. Clements</w:t>
            </w:r>
          </w:p>
        </w:tc>
        <w:tc>
          <w:tcPr>
            <w:tcW w:w="19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320"/>
              <w:spacing w:after="0"/>
              <w:rPr>
                <w:sz w:val="20"/>
                <w:szCs w:val="20"/>
                <w:color w:val="auto"/>
              </w:rPr>
            </w:pPr>
            <w:r>
              <w:rPr>
                <w:rFonts w:ascii="Arial" w:cs="Arial" w:eastAsia="Arial" w:hAnsi="Arial"/>
                <w:sz w:val="14"/>
                <w:szCs w:val="14"/>
                <w:color w:val="auto"/>
              </w:rPr>
              <w:t>L. Cathy Cox</w:t>
            </w:r>
          </w:p>
        </w:tc>
        <w:tc>
          <w:tcPr>
            <w:tcW w:w="196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20,124</w:t>
            </w:r>
          </w:p>
        </w:tc>
        <w:tc>
          <w:tcPr>
            <w:tcW w:w="158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tcPr>
          <w:p>
            <w:pPr>
              <w:ind w:left="320"/>
              <w:spacing w:after="0" w:line="189" w:lineRule="exact"/>
              <w:rPr>
                <w:sz w:val="20"/>
                <w:szCs w:val="20"/>
                <w:color w:val="auto"/>
              </w:rPr>
            </w:pPr>
            <w:r>
              <w:rPr>
                <w:rFonts w:ascii="Arial" w:cs="Arial" w:eastAsia="Arial" w:hAnsi="Arial"/>
                <w:sz w:val="13"/>
                <w:szCs w:val="13"/>
                <w:color w:val="auto"/>
              </w:rPr>
              <w:t>Kenneth L. Daniels</w:t>
            </w:r>
            <w:r>
              <w:rPr>
                <w:rFonts w:ascii="Arial" w:cs="Arial" w:eastAsia="Arial" w:hAnsi="Arial"/>
                <w:sz w:val="21"/>
                <w:szCs w:val="21"/>
                <w:color w:val="auto"/>
                <w:vertAlign w:val="superscript"/>
              </w:rPr>
              <w:t>6</w:t>
            </w:r>
          </w:p>
        </w:tc>
        <w:tc>
          <w:tcPr>
            <w:tcW w:w="1960" w:type="dxa"/>
            <w:vAlign w:val="bottom"/>
          </w:tcPr>
          <w:p>
            <w:pPr>
              <w:jc w:val="right"/>
              <w:ind w:right="328"/>
              <w:spacing w:after="0"/>
              <w:rPr>
                <w:sz w:val="20"/>
                <w:szCs w:val="20"/>
                <w:color w:val="auto"/>
              </w:rPr>
            </w:pPr>
            <w:r>
              <w:rPr>
                <w:rFonts w:ascii="Arial" w:cs="Arial" w:eastAsia="Arial" w:hAnsi="Arial"/>
                <w:sz w:val="14"/>
                <w:szCs w:val="14"/>
                <w:color w:val="auto"/>
              </w:rPr>
              <w:t>10,533</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320"/>
              <w:spacing w:after="0"/>
              <w:rPr>
                <w:sz w:val="20"/>
                <w:szCs w:val="20"/>
                <w:color w:val="auto"/>
              </w:rPr>
            </w:pPr>
            <w:r>
              <w:rPr>
                <w:rFonts w:ascii="Arial" w:cs="Arial" w:eastAsia="Arial" w:hAnsi="Arial"/>
                <w:sz w:val="14"/>
                <w:szCs w:val="14"/>
                <w:color w:val="auto"/>
              </w:rPr>
              <w:t>Lance F. Drummond</w:t>
            </w:r>
          </w:p>
        </w:tc>
        <w:tc>
          <w:tcPr>
            <w:tcW w:w="196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2,958</w:t>
            </w:r>
          </w:p>
        </w:tc>
        <w:tc>
          <w:tcPr>
            <w:tcW w:w="158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tcPr>
          <w:p>
            <w:pPr>
              <w:ind w:left="320"/>
              <w:spacing w:after="0" w:line="189" w:lineRule="exact"/>
              <w:rPr>
                <w:sz w:val="20"/>
                <w:szCs w:val="20"/>
                <w:color w:val="auto"/>
              </w:rPr>
            </w:pPr>
            <w:r>
              <w:rPr>
                <w:rFonts w:ascii="Arial" w:cs="Arial" w:eastAsia="Arial" w:hAnsi="Arial"/>
                <w:sz w:val="13"/>
                <w:szCs w:val="13"/>
                <w:color w:val="auto"/>
              </w:rPr>
              <w:t>H. Lynn Harton</w:t>
            </w:r>
            <w:r>
              <w:rPr>
                <w:rFonts w:ascii="Arial" w:cs="Arial" w:eastAsia="Arial" w:hAnsi="Arial"/>
                <w:sz w:val="21"/>
                <w:szCs w:val="21"/>
                <w:color w:val="auto"/>
                <w:vertAlign w:val="superscript"/>
              </w:rPr>
              <w:t>7</w:t>
            </w:r>
          </w:p>
        </w:tc>
        <w:tc>
          <w:tcPr>
            <w:tcW w:w="1960" w:type="dxa"/>
            <w:vAlign w:val="bottom"/>
          </w:tcPr>
          <w:p>
            <w:pPr>
              <w:jc w:val="right"/>
              <w:ind w:right="328"/>
              <w:spacing w:after="0"/>
              <w:rPr>
                <w:sz w:val="20"/>
                <w:szCs w:val="20"/>
                <w:color w:val="auto"/>
              </w:rPr>
            </w:pPr>
            <w:r>
              <w:rPr>
                <w:rFonts w:ascii="Arial" w:cs="Arial" w:eastAsia="Arial" w:hAnsi="Arial"/>
                <w:sz w:val="14"/>
                <w:szCs w:val="14"/>
                <w:color w:val="auto"/>
              </w:rPr>
              <w:t>223,266</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320"/>
              <w:spacing w:after="0"/>
              <w:rPr>
                <w:sz w:val="20"/>
                <w:szCs w:val="20"/>
                <w:color w:val="auto"/>
              </w:rPr>
            </w:pPr>
            <w:r>
              <w:rPr>
                <w:rFonts w:ascii="Arial" w:cs="Arial" w:eastAsia="Arial" w:hAnsi="Arial"/>
                <w:sz w:val="14"/>
                <w:szCs w:val="14"/>
                <w:color w:val="auto"/>
              </w:rPr>
              <w:t>Jennifer K. Mann</w:t>
            </w:r>
          </w:p>
        </w:tc>
        <w:tc>
          <w:tcPr>
            <w:tcW w:w="196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2,958</w:t>
            </w:r>
          </w:p>
        </w:tc>
        <w:tc>
          <w:tcPr>
            <w:tcW w:w="158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tcPr>
          <w:p>
            <w:pPr>
              <w:ind w:left="320"/>
              <w:spacing w:after="0" w:line="189" w:lineRule="exact"/>
              <w:rPr>
                <w:sz w:val="20"/>
                <w:szCs w:val="20"/>
                <w:color w:val="auto"/>
              </w:rPr>
            </w:pPr>
            <w:r>
              <w:rPr>
                <w:rFonts w:ascii="Arial" w:cs="Arial" w:eastAsia="Arial" w:hAnsi="Arial"/>
                <w:sz w:val="13"/>
                <w:szCs w:val="13"/>
                <w:color w:val="auto"/>
              </w:rPr>
              <w:t>Thomas A. Richlovsky</w:t>
            </w:r>
            <w:r>
              <w:rPr>
                <w:rFonts w:ascii="Arial" w:cs="Arial" w:eastAsia="Arial" w:hAnsi="Arial"/>
                <w:sz w:val="21"/>
                <w:szCs w:val="21"/>
                <w:color w:val="auto"/>
                <w:vertAlign w:val="superscript"/>
              </w:rPr>
              <w:t>8</w:t>
            </w:r>
          </w:p>
        </w:tc>
        <w:tc>
          <w:tcPr>
            <w:tcW w:w="1960" w:type="dxa"/>
            <w:vAlign w:val="bottom"/>
          </w:tcPr>
          <w:p>
            <w:pPr>
              <w:jc w:val="right"/>
              <w:ind w:right="328"/>
              <w:spacing w:after="0"/>
              <w:rPr>
                <w:sz w:val="20"/>
                <w:szCs w:val="20"/>
                <w:color w:val="auto"/>
              </w:rPr>
            </w:pPr>
            <w:r>
              <w:rPr>
                <w:rFonts w:ascii="Arial" w:cs="Arial" w:eastAsia="Arial" w:hAnsi="Arial"/>
                <w:sz w:val="14"/>
                <w:szCs w:val="14"/>
                <w:color w:val="auto"/>
              </w:rPr>
              <w:t>24,494</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4</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320"/>
              <w:spacing w:after="0"/>
              <w:rPr>
                <w:sz w:val="20"/>
                <w:szCs w:val="20"/>
                <w:color w:val="auto"/>
              </w:rPr>
            </w:pPr>
            <w:r>
              <w:rPr>
                <w:rFonts w:ascii="Arial" w:cs="Arial" w:eastAsia="Arial" w:hAnsi="Arial"/>
                <w:sz w:val="14"/>
                <w:szCs w:val="14"/>
                <w:color w:val="auto"/>
              </w:rPr>
              <w:t>David C. Shaver</w:t>
            </w:r>
          </w:p>
        </w:tc>
        <w:tc>
          <w:tcPr>
            <w:tcW w:w="196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5,842</w:t>
            </w:r>
          </w:p>
        </w:tc>
        <w:tc>
          <w:tcPr>
            <w:tcW w:w="158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tcPr>
          <w:p>
            <w:pPr>
              <w:ind w:left="320"/>
              <w:spacing w:after="0" w:line="189" w:lineRule="exact"/>
              <w:rPr>
                <w:sz w:val="20"/>
                <w:szCs w:val="20"/>
                <w:color w:val="auto"/>
              </w:rPr>
            </w:pPr>
            <w:r>
              <w:rPr>
                <w:rFonts w:ascii="Arial" w:cs="Arial" w:eastAsia="Arial" w:hAnsi="Arial"/>
                <w:sz w:val="13"/>
                <w:szCs w:val="13"/>
                <w:color w:val="auto"/>
              </w:rPr>
              <w:t>Tim R. Wallis</w:t>
            </w:r>
            <w:r>
              <w:rPr>
                <w:rFonts w:ascii="Arial" w:cs="Arial" w:eastAsia="Arial" w:hAnsi="Arial"/>
                <w:sz w:val="21"/>
                <w:szCs w:val="21"/>
                <w:color w:val="auto"/>
                <w:vertAlign w:val="superscript"/>
              </w:rPr>
              <w:t>9</w:t>
            </w:r>
          </w:p>
        </w:tc>
        <w:tc>
          <w:tcPr>
            <w:tcW w:w="1960" w:type="dxa"/>
            <w:vAlign w:val="bottom"/>
          </w:tcPr>
          <w:p>
            <w:pPr>
              <w:jc w:val="right"/>
              <w:ind w:right="328"/>
              <w:spacing w:after="0"/>
              <w:rPr>
                <w:sz w:val="20"/>
                <w:szCs w:val="20"/>
                <w:color w:val="auto"/>
              </w:rPr>
            </w:pPr>
            <w:r>
              <w:rPr>
                <w:rFonts w:ascii="Arial" w:cs="Arial" w:eastAsia="Arial" w:hAnsi="Arial"/>
                <w:sz w:val="14"/>
                <w:szCs w:val="14"/>
                <w:color w:val="auto"/>
              </w:rPr>
              <w:t>105,912</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320"/>
              <w:spacing w:after="0"/>
              <w:rPr>
                <w:sz w:val="20"/>
                <w:szCs w:val="20"/>
                <w:color w:val="auto"/>
              </w:rPr>
            </w:pPr>
            <w:r>
              <w:rPr>
                <w:rFonts w:ascii="Arial" w:cs="Arial" w:eastAsia="Arial" w:hAnsi="Arial"/>
                <w:sz w:val="14"/>
                <w:szCs w:val="14"/>
                <w:color w:val="auto"/>
              </w:rPr>
              <w:t>David H. Wilkins</w:t>
            </w:r>
          </w:p>
        </w:tc>
        <w:tc>
          <w:tcPr>
            <w:tcW w:w="196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5,585</w:t>
            </w:r>
          </w:p>
        </w:tc>
        <w:tc>
          <w:tcPr>
            <w:tcW w:w="158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160"/>
              <w:spacing w:after="0"/>
              <w:rPr>
                <w:sz w:val="20"/>
                <w:szCs w:val="20"/>
                <w:color w:val="auto"/>
              </w:rPr>
            </w:pPr>
            <w:r>
              <w:rPr>
                <w:rFonts w:ascii="Arial" w:cs="Arial" w:eastAsia="Arial" w:hAnsi="Arial"/>
                <w:sz w:val="14"/>
                <w:szCs w:val="14"/>
                <w:color w:val="auto"/>
              </w:rPr>
              <w:t>Other NEOs</w:t>
            </w:r>
          </w:p>
        </w:tc>
        <w:tc>
          <w:tcPr>
            <w:tcW w:w="1960" w:type="dxa"/>
            <w:vAlign w:val="bottom"/>
            <w:shd w:val="clear" w:color="auto" w:fill="E5E6E6"/>
          </w:tcPr>
          <w:p>
            <w:pPr>
              <w:spacing w:after="0"/>
              <w:rPr>
                <w:sz w:val="16"/>
                <w:szCs w:val="16"/>
                <w:color w:val="auto"/>
              </w:rPr>
            </w:pPr>
          </w:p>
        </w:tc>
        <w:tc>
          <w:tcPr>
            <w:tcW w:w="1580" w:type="dxa"/>
            <w:vAlign w:val="bottom"/>
            <w:shd w:val="clear" w:color="auto" w:fill="E5E6E6"/>
          </w:tcPr>
          <w:p>
            <w:pPr>
              <w:spacing w:after="0"/>
              <w:rPr>
                <w:sz w:val="16"/>
                <w:szCs w:val="16"/>
                <w:color w:val="auto"/>
              </w:rPr>
            </w:pPr>
          </w:p>
        </w:tc>
        <w:tc>
          <w:tcPr>
            <w:tcW w:w="2180" w:type="dxa"/>
            <w:vAlign w:val="bottom"/>
            <w:shd w:val="clear" w:color="auto" w:fill="E5E6E6"/>
          </w:tcPr>
          <w:p>
            <w:pPr>
              <w:spacing w:after="0"/>
              <w:rPr>
                <w:sz w:val="16"/>
                <w:szCs w:val="16"/>
                <w:color w:val="auto"/>
              </w:rPr>
            </w:pPr>
          </w:p>
        </w:tc>
        <w:tc>
          <w:tcPr>
            <w:tcW w:w="1460" w:type="dxa"/>
            <w:vAlign w:val="bottom"/>
            <w:shd w:val="clear" w:color="auto" w:fill="E5E6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320"/>
              <w:spacing w:after="0"/>
              <w:rPr>
                <w:sz w:val="20"/>
                <w:szCs w:val="20"/>
                <w:color w:val="auto"/>
              </w:rPr>
            </w:pPr>
            <w:r>
              <w:rPr>
                <w:rFonts w:ascii="Arial" w:cs="Arial" w:eastAsia="Arial" w:hAnsi="Arial"/>
                <w:sz w:val="14"/>
                <w:szCs w:val="14"/>
                <w:color w:val="auto"/>
              </w:rPr>
              <w:t>Jefferson L. Harralson</w:t>
            </w:r>
          </w:p>
        </w:tc>
        <w:tc>
          <w:tcPr>
            <w:tcW w:w="1960" w:type="dxa"/>
            <w:vAlign w:val="bottom"/>
          </w:tcPr>
          <w:p>
            <w:pPr>
              <w:jc w:val="right"/>
              <w:ind w:right="328"/>
              <w:spacing w:after="0"/>
              <w:rPr>
                <w:sz w:val="20"/>
                <w:szCs w:val="20"/>
                <w:color w:val="auto"/>
              </w:rPr>
            </w:pPr>
            <w:r>
              <w:rPr>
                <w:rFonts w:ascii="Arial" w:cs="Arial" w:eastAsia="Arial" w:hAnsi="Arial"/>
                <w:sz w:val="14"/>
                <w:szCs w:val="14"/>
                <w:color w:val="auto"/>
              </w:rPr>
              <w:t>22,623</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320"/>
              <w:spacing w:after="0"/>
              <w:rPr>
                <w:sz w:val="20"/>
                <w:szCs w:val="20"/>
                <w:color w:val="auto"/>
              </w:rPr>
            </w:pPr>
            <w:r>
              <w:rPr>
                <w:rFonts w:ascii="Arial" w:cs="Arial" w:eastAsia="Arial" w:hAnsi="Arial"/>
                <w:sz w:val="14"/>
                <w:szCs w:val="14"/>
                <w:color w:val="auto"/>
              </w:rPr>
              <w:t>Richard W. Bradshaw</w:t>
            </w:r>
          </w:p>
        </w:tc>
        <w:tc>
          <w:tcPr>
            <w:tcW w:w="196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38,823</w:t>
            </w:r>
          </w:p>
        </w:tc>
        <w:tc>
          <w:tcPr>
            <w:tcW w:w="158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tcPr>
          <w:p>
            <w:pPr>
              <w:ind w:left="320"/>
              <w:spacing w:after="0"/>
              <w:rPr>
                <w:sz w:val="20"/>
                <w:szCs w:val="20"/>
                <w:color w:val="auto"/>
              </w:rPr>
            </w:pPr>
            <w:r>
              <w:rPr>
                <w:rFonts w:ascii="Arial" w:cs="Arial" w:eastAsia="Arial" w:hAnsi="Arial"/>
                <w:sz w:val="14"/>
                <w:szCs w:val="14"/>
                <w:color w:val="auto"/>
              </w:rPr>
              <w:t>Robert A. Edwards</w:t>
            </w:r>
          </w:p>
        </w:tc>
        <w:tc>
          <w:tcPr>
            <w:tcW w:w="1960" w:type="dxa"/>
            <w:vAlign w:val="bottom"/>
          </w:tcPr>
          <w:p>
            <w:pPr>
              <w:jc w:val="right"/>
              <w:ind w:right="328"/>
              <w:spacing w:after="0"/>
              <w:rPr>
                <w:sz w:val="20"/>
                <w:szCs w:val="20"/>
                <w:color w:val="auto"/>
              </w:rPr>
            </w:pPr>
            <w:r>
              <w:rPr>
                <w:rFonts w:ascii="Arial" w:cs="Arial" w:eastAsia="Arial" w:hAnsi="Arial"/>
                <w:sz w:val="14"/>
                <w:szCs w:val="14"/>
                <w:color w:val="auto"/>
              </w:rPr>
              <w:t>25,979</w:t>
            </w:r>
          </w:p>
        </w:tc>
        <w:tc>
          <w:tcPr>
            <w:tcW w:w="1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320"/>
              <w:spacing w:after="0"/>
              <w:rPr>
                <w:sz w:val="20"/>
                <w:szCs w:val="20"/>
                <w:color w:val="auto"/>
              </w:rPr>
            </w:pPr>
            <w:r>
              <w:rPr>
                <w:rFonts w:ascii="Arial" w:cs="Arial" w:eastAsia="Arial" w:hAnsi="Arial"/>
                <w:sz w:val="14"/>
                <w:szCs w:val="14"/>
                <w:color w:val="auto"/>
              </w:rPr>
              <w:t>Melinda Davis Lux</w:t>
            </w:r>
          </w:p>
        </w:tc>
        <w:tc>
          <w:tcPr>
            <w:tcW w:w="196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E5E6E6"/>
          </w:tcPr>
          <w:p>
            <w:pPr>
              <w:ind w:left="160"/>
              <w:spacing w:after="0"/>
              <w:rPr>
                <w:sz w:val="20"/>
                <w:szCs w:val="20"/>
                <w:color w:val="auto"/>
              </w:rPr>
            </w:pPr>
            <w:r>
              <w:rPr>
                <w:rFonts w:ascii="Arial" w:cs="Arial" w:eastAsia="Arial" w:hAnsi="Arial"/>
                <w:sz w:val="14"/>
                <w:szCs w:val="14"/>
                <w:color w:val="auto"/>
              </w:rPr>
              <w:t>All Executive Officers &amp; Directors as a Group (16 persons)</w:t>
            </w:r>
          </w:p>
        </w:tc>
        <w:tc>
          <w:tcPr>
            <w:tcW w:w="1960" w:type="dxa"/>
            <w:vAlign w:val="bottom"/>
            <w:shd w:val="clear" w:color="auto" w:fill="E5E6E6"/>
          </w:tcPr>
          <w:p>
            <w:pPr>
              <w:jc w:val="right"/>
              <w:ind w:right="328"/>
              <w:spacing w:after="0"/>
              <w:rPr>
                <w:sz w:val="20"/>
                <w:szCs w:val="20"/>
                <w:color w:val="auto"/>
              </w:rPr>
            </w:pPr>
            <w:r>
              <w:rPr>
                <w:rFonts w:ascii="Arial" w:cs="Arial" w:eastAsia="Arial" w:hAnsi="Arial"/>
                <w:sz w:val="14"/>
                <w:szCs w:val="14"/>
                <w:color w:val="auto"/>
              </w:rPr>
              <w:t>540,402</w:t>
            </w:r>
          </w:p>
        </w:tc>
        <w:tc>
          <w:tcPr>
            <w:tcW w:w="1580" w:type="dxa"/>
            <w:vAlign w:val="bottom"/>
            <w:shd w:val="clear" w:color="auto" w:fill="E5E6E6"/>
          </w:tcPr>
          <w:p>
            <w:pPr>
              <w:jc w:val="right"/>
              <w:ind w:right="248"/>
              <w:spacing w:after="0"/>
              <w:rPr>
                <w:sz w:val="20"/>
                <w:szCs w:val="20"/>
                <w:color w:val="auto"/>
              </w:rPr>
            </w:pPr>
            <w:r>
              <w:rPr>
                <w:rFonts w:ascii="Arial" w:cs="Arial" w:eastAsia="Arial" w:hAnsi="Arial"/>
                <w:sz w:val="14"/>
                <w:szCs w:val="14"/>
                <w:color w:val="auto"/>
              </w:rPr>
              <w:t>*</w:t>
            </w:r>
          </w:p>
        </w:tc>
        <w:tc>
          <w:tcPr>
            <w:tcW w:w="218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5</w:t>
            </w:r>
          </w:p>
        </w:tc>
        <w:tc>
          <w:tcPr>
            <w:tcW w:w="1460" w:type="dxa"/>
            <w:vAlign w:val="bottom"/>
            <w:shd w:val="clear" w:color="auto" w:fill="E5E6E6"/>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Represents less than 1% of the deemed outstanding shares of voting common stock or Series I Preferred Stock as of February 26, 2021.</w:t>
      </w:r>
    </w:p>
    <w:p>
      <w:pPr>
        <w:spacing w:after="0" w:line="19" w:lineRule="exact"/>
        <w:rPr>
          <w:sz w:val="20"/>
          <w:szCs w:val="20"/>
          <w:color w:val="auto"/>
        </w:rPr>
      </w:pPr>
    </w:p>
    <w:p>
      <w:pPr>
        <w:ind w:left="660" w:right="260" w:hanging="328"/>
        <w:spacing w:after="0" w:line="182" w:lineRule="auto"/>
        <w:tabs>
          <w:tab w:leader="none" w:pos="660" w:val="left"/>
        </w:tabs>
        <w:numPr>
          <w:ilvl w:val="0"/>
          <w:numId w:val="77"/>
        </w:numPr>
        <w:rPr>
          <w:rFonts w:ascii="Arial" w:cs="Arial" w:eastAsia="Arial" w:hAnsi="Arial"/>
          <w:sz w:val="23"/>
          <w:szCs w:val="23"/>
          <w:color w:val="auto"/>
          <w:vertAlign w:val="superscript"/>
        </w:rPr>
      </w:pPr>
      <w:r>
        <w:rPr>
          <w:rFonts w:ascii="Arial" w:cs="Arial" w:eastAsia="Arial" w:hAnsi="Arial"/>
          <w:sz w:val="14"/>
          <w:szCs w:val="14"/>
          <w:color w:val="auto"/>
        </w:rPr>
        <w:t>Reflects total amount of voting common stock deemed beneficially owned which, in addition to outstanding common stock, includes all shares of common stock deferred in accordance with the United Community Banks, Inc. Deferred Compensation Plan as well as all common stock issuable through the vesting of restricted</w:t>
      </w:r>
    </w:p>
    <w:p>
      <w:pPr>
        <w:spacing w:after="0" w:line="1" w:lineRule="exact"/>
        <w:rPr>
          <w:sz w:val="20"/>
          <w:szCs w:val="20"/>
          <w:color w:val="auto"/>
        </w:rPr>
      </w:pPr>
    </w:p>
    <w:p>
      <w:pPr>
        <w:ind w:left="660" w:right="80"/>
        <w:spacing w:after="0" w:line="232" w:lineRule="auto"/>
        <w:rPr>
          <w:sz w:val="20"/>
          <w:szCs w:val="20"/>
          <w:color w:val="auto"/>
        </w:rPr>
      </w:pPr>
      <w:r>
        <w:rPr>
          <w:rFonts w:ascii="Arial" w:cs="Arial" w:eastAsia="Arial" w:hAnsi="Arial"/>
          <w:sz w:val="14"/>
          <w:szCs w:val="14"/>
          <w:color w:val="auto"/>
        </w:rPr>
        <w:t>stock units within 60 days from February 26, 2021. For purposes of this table, a person “beneficially owns” a security if that person has or shares voting or investment power or has the right to acquire beneficial ownership within 60 days. Unless otherwise noted, to our knowledge, these persons have sole investment and voting power over the shares listed.</w:t>
      </w:r>
    </w:p>
    <w:p>
      <w:pPr>
        <w:spacing w:after="0" w:line="19" w:lineRule="exact"/>
        <w:rPr>
          <w:sz w:val="20"/>
          <w:szCs w:val="20"/>
          <w:color w:val="auto"/>
        </w:rPr>
      </w:pPr>
    </w:p>
    <w:p>
      <w:pPr>
        <w:ind w:left="660" w:hanging="328"/>
        <w:spacing w:after="0" w:line="187" w:lineRule="auto"/>
        <w:tabs>
          <w:tab w:leader="none" w:pos="66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Percentage is based on the total adjusted amount of voting common stock deemed beneficially owned which, in addition to 86,753,563 shares of outstanding voting common stock, includes all shares of voting common stock deferred by executive officers and directors in accordance with the United Community Banks, Inc. Deferred Compensation Plan as well as all common stock issuable through the vesting of restricted stock units within 60 days from February 26, 2021.</w:t>
      </w:r>
    </w:p>
    <w:p>
      <w:pPr>
        <w:spacing w:after="0" w:line="20" w:lineRule="exact"/>
        <w:rPr>
          <w:sz w:val="20"/>
          <w:szCs w:val="20"/>
          <w:color w:val="auto"/>
        </w:rPr>
      </w:pPr>
    </w:p>
    <w:p>
      <w:pPr>
        <w:ind w:left="660" w:right="40" w:hanging="328"/>
        <w:spacing w:after="0" w:line="187" w:lineRule="auto"/>
        <w:tabs>
          <w:tab w:leader="none" w:pos="66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Reflects total amount of Series I Preferred Stock deemed beneficially owned. For purposes of this table, a person “beneficially owns” a security if that person has or shares voting or investment power or has the right to acquire beneficial ownership within 60 days. Unless otherwise noted, to our knowledge, these persons have sole investment and voting power over the shares listed.</w:t>
      </w:r>
    </w:p>
    <w:p>
      <w:pPr>
        <w:ind w:left="660" w:hanging="328"/>
        <w:spacing w:after="0" w:line="189" w:lineRule="auto"/>
        <w:tabs>
          <w:tab w:leader="none" w:pos="660" w:val="left"/>
        </w:tabs>
        <w:numPr>
          <w:ilvl w:val="0"/>
          <w:numId w:val="80"/>
        </w:numPr>
        <w:rPr>
          <w:rFonts w:ascii="Arial" w:cs="Arial" w:eastAsia="Arial" w:hAnsi="Arial"/>
          <w:sz w:val="18"/>
          <w:szCs w:val="18"/>
          <w:color w:val="auto"/>
          <w:vertAlign w:val="superscript"/>
        </w:rPr>
      </w:pPr>
      <w:r>
        <w:rPr>
          <w:rFonts w:ascii="Arial" w:cs="Arial" w:eastAsia="Arial" w:hAnsi="Arial"/>
          <w:sz w:val="12"/>
          <w:szCs w:val="12"/>
          <w:color w:val="auto"/>
        </w:rPr>
        <w:t>Percentage computations are based upon 4,000 shares of our Series I Preferred Stock, outstanding as of February 26, 2021.</w:t>
      </w:r>
    </w:p>
    <w:p>
      <w:pPr>
        <w:spacing w:after="0" w:line="19" w:lineRule="exact"/>
        <w:rPr>
          <w:sz w:val="20"/>
          <w:szCs w:val="20"/>
          <w:color w:val="auto"/>
        </w:rPr>
      </w:pPr>
    </w:p>
    <w:p>
      <w:pPr>
        <w:ind w:left="660" w:right="480" w:hanging="328"/>
        <w:spacing w:after="0" w:line="182" w:lineRule="auto"/>
        <w:tabs>
          <w:tab w:leader="none" w:pos="660" w:val="left"/>
        </w:tabs>
        <w:numPr>
          <w:ilvl w:val="0"/>
          <w:numId w:val="81"/>
        </w:numPr>
        <w:rPr>
          <w:rFonts w:ascii="Arial" w:cs="Arial" w:eastAsia="Arial" w:hAnsi="Arial"/>
          <w:sz w:val="22"/>
          <w:szCs w:val="22"/>
          <w:color w:val="auto"/>
          <w:vertAlign w:val="superscript"/>
        </w:rPr>
      </w:pPr>
      <w:r>
        <w:rPr>
          <w:rFonts w:ascii="Arial" w:cs="Arial" w:eastAsia="Arial" w:hAnsi="Arial"/>
          <w:sz w:val="13"/>
          <w:szCs w:val="13"/>
          <w:color w:val="auto"/>
        </w:rPr>
        <w:t>Includes 1,992 shares owned by Mr. Blalock’s spouse, for which he claims beneficial ownership and 20,121 shares owned by Blalock Insurance Agency, Inc., a company wholly owned by Mr. Blalock.</w:t>
      </w:r>
    </w:p>
    <w:p>
      <w:pPr>
        <w:ind w:left="660" w:hanging="328"/>
        <w:spacing w:after="0" w:line="187" w:lineRule="auto"/>
        <w:tabs>
          <w:tab w:leader="none" w:pos="660" w:val="left"/>
        </w:tabs>
        <w:numPr>
          <w:ilvl w:val="0"/>
          <w:numId w:val="82"/>
        </w:numPr>
        <w:rPr>
          <w:rFonts w:ascii="Arial" w:cs="Arial" w:eastAsia="Arial" w:hAnsi="Arial"/>
          <w:sz w:val="18"/>
          <w:szCs w:val="18"/>
          <w:color w:val="auto"/>
          <w:vertAlign w:val="superscript"/>
        </w:rPr>
      </w:pPr>
      <w:r>
        <w:rPr>
          <w:rFonts w:ascii="Arial" w:cs="Arial" w:eastAsia="Arial" w:hAnsi="Arial"/>
          <w:sz w:val="12"/>
          <w:szCs w:val="12"/>
          <w:color w:val="auto"/>
        </w:rPr>
        <w:t>Includes 1,500 shares owned by the Kenneth L. Daniels Trust dated December 9, 2016 over which Mr. Daniels is Trustee.</w:t>
      </w:r>
    </w:p>
    <w:p>
      <w:pPr>
        <w:ind w:left="660" w:hanging="328"/>
        <w:spacing w:after="0" w:line="188" w:lineRule="auto"/>
        <w:tabs>
          <w:tab w:leader="none" w:pos="660" w:val="left"/>
        </w:tabs>
        <w:numPr>
          <w:ilvl w:val="0"/>
          <w:numId w:val="83"/>
        </w:numPr>
        <w:rPr>
          <w:rFonts w:ascii="Arial" w:cs="Arial" w:eastAsia="Arial" w:hAnsi="Arial"/>
          <w:sz w:val="18"/>
          <w:szCs w:val="18"/>
          <w:color w:val="auto"/>
          <w:vertAlign w:val="superscript"/>
        </w:rPr>
      </w:pPr>
      <w:r>
        <w:rPr>
          <w:rFonts w:ascii="Arial" w:cs="Arial" w:eastAsia="Arial" w:hAnsi="Arial"/>
          <w:sz w:val="12"/>
          <w:szCs w:val="12"/>
          <w:color w:val="auto"/>
        </w:rPr>
        <w:t>Includes 144,952 shares owned by The Herbert Lynn Harton Revocable Trust dated March 16, 2015 over which Mr. Harton is Trustee.</w:t>
      </w:r>
    </w:p>
    <w:p>
      <w:pPr>
        <w:ind w:left="660" w:hanging="328"/>
        <w:spacing w:after="0" w:line="188" w:lineRule="auto"/>
        <w:tabs>
          <w:tab w:leader="none" w:pos="660" w:val="left"/>
        </w:tabs>
        <w:numPr>
          <w:ilvl w:val="0"/>
          <w:numId w:val="84"/>
        </w:numPr>
        <w:rPr>
          <w:rFonts w:ascii="Arial" w:cs="Arial" w:eastAsia="Arial" w:hAnsi="Arial"/>
          <w:sz w:val="18"/>
          <w:szCs w:val="18"/>
          <w:color w:val="auto"/>
          <w:vertAlign w:val="superscript"/>
        </w:rPr>
      </w:pPr>
      <w:r>
        <w:rPr>
          <w:rFonts w:ascii="Arial" w:cs="Arial" w:eastAsia="Arial" w:hAnsi="Arial"/>
          <w:sz w:val="12"/>
          <w:szCs w:val="12"/>
          <w:color w:val="auto"/>
        </w:rPr>
        <w:t>Includes 24,494 shares owned by the Thomas Andrew Richlovsky Trust dated September 24, 1998 over which Mr. Richlovsky is Trustee.</w:t>
      </w:r>
    </w:p>
    <w:p>
      <w:pPr>
        <w:ind w:left="660" w:hanging="328"/>
        <w:spacing w:after="0" w:line="181" w:lineRule="auto"/>
        <w:tabs>
          <w:tab w:leader="none" w:pos="660" w:val="left"/>
        </w:tabs>
        <w:numPr>
          <w:ilvl w:val="0"/>
          <w:numId w:val="85"/>
        </w:numPr>
        <w:rPr>
          <w:rFonts w:ascii="Arial" w:cs="Arial" w:eastAsia="Arial" w:hAnsi="Arial"/>
          <w:sz w:val="22"/>
          <w:szCs w:val="22"/>
          <w:color w:val="auto"/>
          <w:vertAlign w:val="superscript"/>
        </w:rPr>
      </w:pPr>
      <w:r>
        <w:rPr>
          <w:rFonts w:ascii="Arial" w:cs="Arial" w:eastAsia="Arial" w:hAnsi="Arial"/>
          <w:sz w:val="13"/>
          <w:szCs w:val="13"/>
          <w:color w:val="auto"/>
        </w:rPr>
        <w:t>Includes 91,418 shares owned by Wallis Investment Co., LLC, a company wholly owned by Mr.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5" w:name="page56"/>
    <w:bookmarkEnd w:id="55"/>
    <w:p>
      <w:pPr>
        <w:spacing w:after="0"/>
        <w:rPr>
          <w:sz w:val="20"/>
          <w:szCs w:val="20"/>
          <w:color w:val="auto"/>
        </w:rPr>
      </w:pPr>
      <w:r>
        <w:rPr>
          <w:rFonts w:ascii="Arial" w:cs="Arial" w:eastAsia="Arial" w:hAnsi="Arial"/>
          <w:sz w:val="36"/>
          <w:szCs w:val="36"/>
          <w:b w:val="1"/>
          <w:bCs w:val="1"/>
          <w:color w:val="143964"/>
        </w:rPr>
        <w:t>Audit Committee Report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our Board has:</w:t>
      </w:r>
    </w:p>
    <w:p>
      <w:pPr>
        <w:spacing w:after="0" w:line="198"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annual audited financial statements for 2020 ––--</w:t>
      </w:r>
    </w:p>
    <w:p>
      <w:pPr>
        <w:spacing w:after="0" w:line="238" w:lineRule="exact"/>
        <w:rPr>
          <w:rFonts w:ascii="Arial" w:cs="Arial" w:eastAsia="Arial" w:hAnsi="Arial"/>
          <w:sz w:val="18"/>
          <w:szCs w:val="18"/>
          <w:color w:val="auto"/>
        </w:rPr>
      </w:pPr>
    </w:p>
    <w:p>
      <w:pPr>
        <w:ind w:left="660" w:right="40" w:hanging="328"/>
        <w:spacing w:after="0" w:line="24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Discussed with PriceWaterhouseCoopers LLP (“PwC”), our independent registered public accounting firm, the matters required to be discussed by the applicable requirements of the Public Company Accounting Oversight Board “(PCAOB”) and the SEC</w:t>
      </w:r>
    </w:p>
    <w:p>
      <w:pPr>
        <w:spacing w:after="0" w:line="223" w:lineRule="exact"/>
        <w:rPr>
          <w:rFonts w:ascii="Arial" w:cs="Arial" w:eastAsia="Arial" w:hAnsi="Arial"/>
          <w:sz w:val="18"/>
          <w:szCs w:val="18"/>
          <w:color w:val="auto"/>
        </w:rPr>
      </w:pPr>
    </w:p>
    <w:p>
      <w:pPr>
        <w:ind w:left="660" w:right="600" w:hanging="328"/>
        <w:spacing w:after="0" w:line="24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Received from PwC the written disclosures and the letter required by applicable requirements of the PCAOB regarding PwC’s communication with the Audit Committee concerning independence</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Discussed with PwC its independence</w:t>
      </w:r>
    </w:p>
    <w:p>
      <w:pPr>
        <w:spacing w:after="0" w:line="19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Based on the review and discussions referred to above, the Audit Committee has recommended to the Board that the December 31, 2020 audited financial statements be included in the Company’s Annual Report on Form 10-K for the year ended December 31, 2020 for filing with the SEC.</w:t>
      </w:r>
    </w:p>
    <w:p>
      <w:pPr>
        <w:spacing w:after="0" w:line="189"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While the Audit Committee has the responsibilities set forth in its charter (including to monitor and oversee the audit processes), the Audit Committee does not have the duty to plan or conduct audits or to determine that United’s financial statements are complete, accurate or in accordance with generally accepted accounting principles. United’s management and independent auditor have this responsibility.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This report has been furnished by the members of the Audit Committee:</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C. Shaver, Chair</w:t>
      </w:r>
    </w:p>
    <w:p>
      <w:pPr>
        <w:ind w:left="5620"/>
        <w:spacing w:after="0" w:line="234" w:lineRule="auto"/>
        <w:rPr>
          <w:sz w:val="20"/>
          <w:szCs w:val="20"/>
          <w:color w:val="auto"/>
        </w:rPr>
      </w:pPr>
      <w:r>
        <w:rPr>
          <w:rFonts w:ascii="Arial" w:cs="Arial" w:eastAsia="Arial" w:hAnsi="Arial"/>
          <w:sz w:val="18"/>
          <w:szCs w:val="18"/>
          <w:color w:val="auto"/>
        </w:rPr>
        <w:t>Robert H. Blalock</w:t>
      </w:r>
    </w:p>
    <w:p>
      <w:pPr>
        <w:ind w:left="5620"/>
        <w:spacing w:after="0" w:line="235" w:lineRule="auto"/>
        <w:rPr>
          <w:sz w:val="20"/>
          <w:szCs w:val="20"/>
          <w:color w:val="auto"/>
        </w:rPr>
      </w:pPr>
      <w:r>
        <w:rPr>
          <w:rFonts w:ascii="Arial" w:cs="Arial" w:eastAsia="Arial" w:hAnsi="Arial"/>
          <w:sz w:val="18"/>
          <w:szCs w:val="18"/>
          <w:color w:val="auto"/>
        </w:rPr>
        <w:t>Kenneth L. Daniels</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A. Richlovsky</w:t>
      </w:r>
    </w:p>
    <w:p>
      <w:pPr>
        <w:spacing w:after="0" w:line="190" w:lineRule="exact"/>
        <w:rPr>
          <w:sz w:val="20"/>
          <w:szCs w:val="20"/>
          <w:color w:val="auto"/>
        </w:rPr>
      </w:pPr>
    </w:p>
    <w:p>
      <w:pPr>
        <w:ind w:right="340"/>
        <w:spacing w:after="0" w:line="279" w:lineRule="auto"/>
        <w:rPr>
          <w:sz w:val="20"/>
          <w:szCs w:val="20"/>
          <w:color w:val="auto"/>
        </w:rPr>
      </w:pPr>
      <w:r>
        <w:rPr>
          <w:rFonts w:ascii="Arial" w:cs="Arial" w:eastAsia="Arial" w:hAnsi="Arial"/>
          <w:sz w:val="14"/>
          <w:szCs w:val="14"/>
          <w:i w:val="1"/>
          <w:iCs w:val="1"/>
          <w:color w:val="auto"/>
        </w:rPr>
        <w:t>The above Audit Committee Report does not constitute soliciting material and should not be deemed filed or incorporated by reference into any other United filing under the Securities Act of 1933 or the Securities Exchange Act of 1934, except to the extent United specifically incorporates this report by reference therein.</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56" w:name="page57"/>
    <w:bookmarkEnd w:id="56"/>
    <w:p>
      <w:pPr>
        <w:ind w:right="1780"/>
        <w:spacing w:after="0" w:line="280" w:lineRule="auto"/>
        <w:rPr>
          <w:sz w:val="20"/>
          <w:szCs w:val="20"/>
          <w:color w:val="auto"/>
        </w:rPr>
      </w:pPr>
      <w:r>
        <w:rPr>
          <w:rFonts w:ascii="Arial" w:cs="Arial" w:eastAsia="Arial" w:hAnsi="Arial"/>
          <w:sz w:val="36"/>
          <w:szCs w:val="36"/>
          <w:b w:val="1"/>
          <w:bCs w:val="1"/>
          <w:color w:val="143964"/>
        </w:rPr>
        <w:t>Proposal 4: Ratification of Appointment of Independent Registered Public Accounting Firm</w:t>
      </w:r>
    </w:p>
    <w:p>
      <w:pPr>
        <w:spacing w:after="0" w:line="12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Audit Committee has retained PwC as the Company’s independent registered public accounting firm for 2021. PwC has audited the financial statements of the Company since being appointment in 2012 as the Company’s independent registered public accounting firm for 2013.</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asking shareholders to ratify the Audit Committee’s appointment of PwC in order to obtain the views of our shareholders. If shareholders fail to ratify the appointment of PwC, the Audit Committee will reconsider the appointment but in its discretion may still direct the appointment of PwC. Also, if the appointment of PwC is approved, the Audit Committee in its discretion may still direct the appointment of a different independent registered public accounting firm at any time and without shareholder approval if the Audit Committee believes that such a change would be in our best interests.</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Representatives of PwC have been requested to participate in the 2021 Annual Meeting and will have the opportunity to make a statement, if they so desire, and are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372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348" w:lineRule="exact"/>
        <w:rPr>
          <w:sz w:val="20"/>
          <w:szCs w:val="20"/>
          <w:color w:val="auto"/>
        </w:rPr>
      </w:pPr>
    </w:p>
    <w:p>
      <w:pPr>
        <w:jc w:val="center"/>
        <w:ind w:right="60"/>
        <w:spacing w:after="0" w:line="245" w:lineRule="auto"/>
        <w:rPr>
          <w:sz w:val="20"/>
          <w:szCs w:val="20"/>
          <w:color w:val="auto"/>
        </w:rPr>
      </w:pPr>
      <w:r>
        <w:rPr>
          <w:rFonts w:ascii="Arial" w:cs="Arial" w:eastAsia="Arial" w:hAnsi="Arial"/>
          <w:sz w:val="22"/>
          <w:szCs w:val="22"/>
          <w:b w:val="1"/>
          <w:bCs w:val="1"/>
          <w:i w:val="1"/>
          <w:iCs w:val="1"/>
          <w:color w:val="FFFFFF"/>
        </w:rPr>
        <w:t>THE BOARD UNANIMOUSLY RECOMMENDS THAT SHAREHOLDERS VOTE “FOR” THE APPOINTMENT OF PRICEWATERHOUSECOOPERS LLP AS OUR INDEPENDENT REGISTERED PUBLIC ACCOUNTING FIRM FOR 2021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57" w:name="page58"/>
    <w:bookmarkEnd w:id="57"/>
    <w:p>
      <w:pPr>
        <w:spacing w:after="0"/>
        <w:rPr>
          <w:sz w:val="20"/>
          <w:szCs w:val="20"/>
          <w:color w:val="auto"/>
        </w:rPr>
      </w:pPr>
      <w:r>
        <w:rPr>
          <w:rFonts w:ascii="Arial" w:cs="Arial" w:eastAsia="Arial" w:hAnsi="Arial"/>
          <w:sz w:val="36"/>
          <w:szCs w:val="36"/>
          <w:b w:val="1"/>
          <w:bCs w:val="1"/>
          <w:color w:val="143964"/>
        </w:rPr>
        <w:t>Fees Paid to Auditors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During 2020 and 2019, United was billed the following amounts for services rendered by PwC: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126365</wp:posOffset>
            </wp:positionV>
            <wp:extent cx="8255" cy="1974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19748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126365</wp:posOffset>
            </wp:positionV>
            <wp:extent cx="8255" cy="1974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19748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900" w:type="dxa"/>
            <w:vAlign w:val="bottom"/>
            <w:tcBorders>
              <w:bottom w:val="single" w:sz="8" w:color="0F76A9"/>
            </w:tcBorders>
            <w:shd w:val="clear" w:color="auto" w:fill="0F76A9"/>
          </w:tcPr>
          <w:p>
            <w:pPr>
              <w:spacing w:after="0"/>
              <w:rPr>
                <w:sz w:val="24"/>
                <w:szCs w:val="24"/>
                <w:color w:val="auto"/>
              </w:rPr>
            </w:pPr>
          </w:p>
        </w:tc>
        <w:tc>
          <w:tcPr>
            <w:tcW w:w="900" w:type="dxa"/>
            <w:vAlign w:val="bottom"/>
            <w:tcBorders>
              <w:bottom w:val="single" w:sz="8" w:color="0F76A9"/>
            </w:tcBorders>
            <w:shd w:val="clear" w:color="auto" w:fill="0F76A9"/>
          </w:tcPr>
          <w:p>
            <w:pPr>
              <w:jc w:val="right"/>
              <w:ind w:right="248"/>
              <w:spacing w:after="0"/>
              <w:rPr>
                <w:sz w:val="20"/>
                <w:szCs w:val="20"/>
                <w:color w:val="auto"/>
              </w:rPr>
            </w:pPr>
            <w:r>
              <w:rPr>
                <w:rFonts w:ascii="Arial" w:cs="Arial" w:eastAsia="Arial" w:hAnsi="Arial"/>
                <w:sz w:val="14"/>
                <w:szCs w:val="14"/>
                <w:color w:val="FFFFFF"/>
              </w:rPr>
              <w:t>2020</w:t>
            </w:r>
          </w:p>
        </w:tc>
        <w:tc>
          <w:tcPr>
            <w:tcW w:w="440" w:type="dxa"/>
            <w:vAlign w:val="bottom"/>
            <w:tcBorders>
              <w:bottom w:val="single" w:sz="8" w:color="0F76A9"/>
            </w:tcBorders>
            <w:shd w:val="clear" w:color="auto" w:fill="0F76A9"/>
          </w:tcPr>
          <w:p>
            <w:pPr>
              <w:spacing w:after="0"/>
              <w:rPr>
                <w:sz w:val="24"/>
                <w:szCs w:val="24"/>
                <w:color w:val="auto"/>
              </w:rPr>
            </w:pPr>
          </w:p>
        </w:tc>
        <w:tc>
          <w:tcPr>
            <w:tcW w:w="900" w:type="dxa"/>
            <w:vAlign w:val="bottom"/>
            <w:tcBorders>
              <w:bottom w:val="single" w:sz="8" w:color="0F76A9"/>
            </w:tcBorders>
            <w:shd w:val="clear" w:color="auto" w:fill="0F76A9"/>
          </w:tcPr>
          <w:p>
            <w:pPr>
              <w:jc w:val="right"/>
              <w:ind w:right="188"/>
              <w:spacing w:after="0"/>
              <w:rPr>
                <w:sz w:val="20"/>
                <w:szCs w:val="20"/>
                <w:color w:val="auto"/>
              </w:rPr>
            </w:pPr>
            <w:r>
              <w:rPr>
                <w:rFonts w:ascii="Arial" w:cs="Arial" w:eastAsia="Arial" w:hAnsi="Arial"/>
                <w:sz w:val="14"/>
                <w:szCs w:val="14"/>
                <w:color w:val="FFFFFF"/>
              </w:rPr>
              <w:t>2019</w:t>
            </w:r>
          </w:p>
        </w:tc>
        <w:tc>
          <w:tcPr>
            <w:tcW w:w="100" w:type="dxa"/>
            <w:vAlign w:val="bottom"/>
            <w:tcBorders>
              <w:bottom w:val="single" w:sz="8" w:color="0F76A9"/>
            </w:tcBorders>
            <w:shd w:val="clear" w:color="auto" w:fill="0F76A9"/>
          </w:tcPr>
          <w:p>
            <w:pPr>
              <w:spacing w:after="0"/>
              <w:rPr>
                <w:sz w:val="24"/>
                <w:szCs w:val="24"/>
                <w:color w:val="auto"/>
              </w:rPr>
            </w:pPr>
          </w:p>
        </w:tc>
      </w:tr>
      <w:tr>
        <w:trPr>
          <w:trHeight w:val="189"/>
        </w:trPr>
        <w:tc>
          <w:tcPr>
            <w:tcW w:w="8900" w:type="dxa"/>
            <w:vAlign w:val="bottom"/>
          </w:tcPr>
          <w:p>
            <w:pPr>
              <w:ind w:left="100"/>
              <w:spacing w:after="0" w:line="189"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$1,585,000</w:t>
            </w:r>
          </w:p>
        </w:tc>
        <w:tc>
          <w:tcPr>
            <w:tcW w:w="900" w:type="dxa"/>
            <w:vAlign w:val="bottom"/>
          </w:tcPr>
          <w:p>
            <w:pPr>
              <w:jc w:val="right"/>
              <w:spacing w:after="0"/>
              <w:rPr>
                <w:sz w:val="20"/>
                <w:szCs w:val="20"/>
                <w:color w:val="auto"/>
              </w:rPr>
            </w:pPr>
            <w:r>
              <w:rPr>
                <w:rFonts w:ascii="Arial" w:cs="Arial" w:eastAsia="Arial" w:hAnsi="Arial"/>
                <w:sz w:val="14"/>
                <w:szCs w:val="14"/>
                <w:color w:val="auto"/>
              </w:rPr>
              <w:t>$1,305,000</w:t>
            </w:r>
          </w:p>
        </w:tc>
        <w:tc>
          <w:tcPr>
            <w:tcW w:w="100" w:type="dxa"/>
            <w:vAlign w:val="bottom"/>
          </w:tcPr>
          <w:p>
            <w:pPr>
              <w:spacing w:after="0"/>
              <w:rPr>
                <w:sz w:val="16"/>
                <w:szCs w:val="16"/>
                <w:color w:val="auto"/>
              </w:rPr>
            </w:pPr>
          </w:p>
        </w:tc>
      </w:tr>
      <w:tr>
        <w:trPr>
          <w:trHeight w:val="189"/>
        </w:trPr>
        <w:tc>
          <w:tcPr>
            <w:tcW w:w="8900" w:type="dxa"/>
            <w:vAlign w:val="bottom"/>
            <w:shd w:val="clear" w:color="auto" w:fill="E4E5E5"/>
          </w:tcPr>
          <w:p>
            <w:pPr>
              <w:ind w:left="100"/>
              <w:spacing w:after="0" w:line="189"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1340" w:type="dxa"/>
            <w:vAlign w:val="bottom"/>
            <w:gridSpan w:val="2"/>
            <w:shd w:val="clear" w:color="auto" w:fill="E4E5E5"/>
          </w:tcPr>
          <w:p>
            <w:pPr>
              <w:jc w:val="right"/>
              <w:ind w:right="440"/>
              <w:spacing w:after="0"/>
              <w:rPr>
                <w:sz w:val="20"/>
                <w:szCs w:val="20"/>
                <w:color w:val="auto"/>
              </w:rPr>
            </w:pPr>
            <w:r>
              <w:rPr>
                <w:rFonts w:ascii="Arial" w:cs="Arial" w:eastAsia="Arial" w:hAnsi="Arial"/>
                <w:sz w:val="14"/>
                <w:szCs w:val="14"/>
                <w:color w:val="auto"/>
              </w:rPr>
              <w:t>400,000</w:t>
            </w:r>
          </w:p>
        </w:tc>
        <w:tc>
          <w:tcPr>
            <w:tcW w:w="900" w:type="dxa"/>
            <w:vAlign w:val="bottom"/>
            <w:shd w:val="clear" w:color="auto" w:fill="E4E5E5"/>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E4E5E5"/>
          </w:tcPr>
          <w:p>
            <w:pPr>
              <w:spacing w:after="0"/>
              <w:rPr>
                <w:sz w:val="16"/>
                <w:szCs w:val="16"/>
                <w:color w:val="auto"/>
              </w:rPr>
            </w:pPr>
          </w:p>
        </w:tc>
      </w:tr>
      <w:tr>
        <w:trPr>
          <w:trHeight w:val="189"/>
        </w:trPr>
        <w:tc>
          <w:tcPr>
            <w:tcW w:w="8900" w:type="dxa"/>
            <w:vAlign w:val="bottom"/>
          </w:tcPr>
          <w:p>
            <w:pPr>
              <w:ind w:left="100"/>
              <w:spacing w:after="0" w:line="189"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89"/>
        </w:trPr>
        <w:tc>
          <w:tcPr>
            <w:tcW w:w="8900" w:type="dxa"/>
            <w:vAlign w:val="bottom"/>
            <w:shd w:val="clear" w:color="auto" w:fill="E4E5E5"/>
          </w:tcPr>
          <w:p>
            <w:pPr>
              <w:ind w:left="100"/>
              <w:spacing w:after="0" w:line="189" w:lineRule="exact"/>
              <w:rPr>
                <w:sz w:val="20"/>
                <w:szCs w:val="20"/>
                <w:color w:val="auto"/>
              </w:rPr>
            </w:pPr>
            <w:r>
              <w:rPr>
                <w:rFonts w:ascii="Arial" w:cs="Arial" w:eastAsia="Arial" w:hAnsi="Arial"/>
                <w:sz w:val="13"/>
                <w:szCs w:val="13"/>
                <w:color w:val="auto"/>
              </w:rPr>
              <w:t>All Other Fees</w:t>
            </w:r>
            <w:r>
              <w:rPr>
                <w:rFonts w:ascii="Arial" w:cs="Arial" w:eastAsia="Arial" w:hAnsi="Arial"/>
                <w:sz w:val="21"/>
                <w:szCs w:val="21"/>
                <w:color w:val="auto"/>
                <w:vertAlign w:val="superscript"/>
              </w:rPr>
              <w:t>4</w:t>
            </w:r>
          </w:p>
        </w:tc>
        <w:tc>
          <w:tcPr>
            <w:tcW w:w="900" w:type="dxa"/>
            <w:vAlign w:val="bottom"/>
            <w:tcBorders>
              <w:bottom w:val="single" w:sz="8" w:color="auto"/>
            </w:tcBorders>
            <w:shd w:val="clear" w:color="auto" w:fill="E4E5E5"/>
          </w:tcPr>
          <w:p>
            <w:pPr>
              <w:jc w:val="right"/>
              <w:spacing w:after="0"/>
              <w:rPr>
                <w:sz w:val="20"/>
                <w:szCs w:val="20"/>
                <w:color w:val="auto"/>
              </w:rPr>
            </w:pPr>
            <w:r>
              <w:rPr>
                <w:rFonts w:ascii="Arial" w:cs="Arial" w:eastAsia="Arial" w:hAnsi="Arial"/>
                <w:sz w:val="14"/>
                <w:szCs w:val="14"/>
                <w:color w:val="auto"/>
              </w:rPr>
              <w:t>2,808</w:t>
            </w:r>
          </w:p>
        </w:tc>
        <w:tc>
          <w:tcPr>
            <w:tcW w:w="440" w:type="dxa"/>
            <w:vAlign w:val="bottom"/>
            <w:shd w:val="clear" w:color="auto" w:fill="E4E5E5"/>
          </w:tcPr>
          <w:p>
            <w:pPr>
              <w:spacing w:after="0"/>
              <w:rPr>
                <w:sz w:val="16"/>
                <w:szCs w:val="16"/>
                <w:color w:val="auto"/>
              </w:rPr>
            </w:pPr>
          </w:p>
        </w:tc>
        <w:tc>
          <w:tcPr>
            <w:tcW w:w="900" w:type="dxa"/>
            <w:vAlign w:val="bottom"/>
            <w:tcBorders>
              <w:bottom w:val="single" w:sz="8" w:color="auto"/>
            </w:tcBorders>
            <w:shd w:val="clear" w:color="auto" w:fill="E4E5E5"/>
          </w:tcPr>
          <w:p>
            <w:pPr>
              <w:jc w:val="right"/>
              <w:spacing w:after="0"/>
              <w:rPr>
                <w:sz w:val="20"/>
                <w:szCs w:val="20"/>
                <w:color w:val="auto"/>
              </w:rPr>
            </w:pPr>
            <w:r>
              <w:rPr>
                <w:rFonts w:ascii="Arial" w:cs="Arial" w:eastAsia="Arial" w:hAnsi="Arial"/>
                <w:sz w:val="14"/>
                <w:szCs w:val="14"/>
                <w:color w:val="auto"/>
              </w:rPr>
              <w:t>2,700</w:t>
            </w:r>
          </w:p>
        </w:tc>
        <w:tc>
          <w:tcPr>
            <w:tcW w:w="100" w:type="dxa"/>
            <w:vAlign w:val="bottom"/>
            <w:shd w:val="clear" w:color="auto" w:fill="E4E5E5"/>
          </w:tcPr>
          <w:p>
            <w:pPr>
              <w:spacing w:after="0"/>
              <w:rPr>
                <w:sz w:val="16"/>
                <w:szCs w:val="16"/>
                <w:color w:val="auto"/>
              </w:rPr>
            </w:pPr>
          </w:p>
        </w:tc>
      </w:tr>
      <w:tr>
        <w:trPr>
          <w:trHeight w:val="183"/>
        </w:trPr>
        <w:tc>
          <w:tcPr>
            <w:tcW w:w="8900" w:type="dxa"/>
            <w:vAlign w:val="bottom"/>
          </w:tcPr>
          <w:p>
            <w:pPr>
              <w:ind w:left="420"/>
              <w:spacing w:after="0"/>
              <w:rPr>
                <w:sz w:val="20"/>
                <w:szCs w:val="20"/>
                <w:color w:val="auto"/>
              </w:rPr>
            </w:pPr>
            <w:r>
              <w:rPr>
                <w:rFonts w:ascii="Arial" w:cs="Arial" w:eastAsia="Arial" w:hAnsi="Arial"/>
                <w:sz w:val="14"/>
                <w:szCs w:val="14"/>
                <w:color w:val="auto"/>
              </w:rPr>
              <w:t>Total</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$1,987,808</w:t>
            </w:r>
          </w:p>
        </w:tc>
        <w:tc>
          <w:tcPr>
            <w:tcW w:w="900" w:type="dxa"/>
            <w:vAlign w:val="bottom"/>
          </w:tcPr>
          <w:p>
            <w:pPr>
              <w:jc w:val="right"/>
              <w:spacing w:after="0"/>
              <w:rPr>
                <w:sz w:val="20"/>
                <w:szCs w:val="20"/>
                <w:color w:val="auto"/>
              </w:rPr>
            </w:pPr>
            <w:r>
              <w:rPr>
                <w:rFonts w:ascii="Arial" w:cs="Arial" w:eastAsia="Arial" w:hAnsi="Arial"/>
                <w:sz w:val="14"/>
                <w:szCs w:val="14"/>
                <w:color w:val="auto"/>
              </w:rPr>
              <w:t>$1,557,700</w:t>
            </w:r>
          </w:p>
        </w:tc>
        <w:tc>
          <w:tcPr>
            <w:tcW w:w="100" w:type="dxa"/>
            <w:vAlign w:val="bottom"/>
          </w:tcPr>
          <w:p>
            <w:pPr>
              <w:spacing w:after="0"/>
              <w:rPr>
                <w:sz w:val="15"/>
                <w:szCs w:val="15"/>
                <w:color w:val="auto"/>
              </w:rPr>
            </w:pPr>
          </w:p>
        </w:tc>
      </w:tr>
      <w:tr>
        <w:trPr>
          <w:trHeight w:val="20"/>
        </w:trPr>
        <w:tc>
          <w:tcPr>
            <w:tcW w:w="8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8900" w:type="dxa"/>
            <w:vAlign w:val="bottom"/>
            <w:tcBorders>
              <w:bottom w:val="single" w:sz="8" w:color="E5E6E6"/>
            </w:tcBorders>
          </w:tcPr>
          <w:p>
            <w:pPr>
              <w:spacing w:after="0"/>
              <w:rPr>
                <w:sz w:val="7"/>
                <w:szCs w:val="7"/>
                <w:color w:val="auto"/>
              </w:rPr>
            </w:pPr>
          </w:p>
        </w:tc>
        <w:tc>
          <w:tcPr>
            <w:tcW w:w="900" w:type="dxa"/>
            <w:vAlign w:val="bottom"/>
            <w:tcBorders>
              <w:bottom w:val="single" w:sz="8" w:color="E5E6E6"/>
            </w:tcBorders>
          </w:tcPr>
          <w:p>
            <w:pPr>
              <w:spacing w:after="0"/>
              <w:rPr>
                <w:sz w:val="7"/>
                <w:szCs w:val="7"/>
                <w:color w:val="auto"/>
              </w:rPr>
            </w:pPr>
          </w:p>
        </w:tc>
        <w:tc>
          <w:tcPr>
            <w:tcW w:w="440" w:type="dxa"/>
            <w:vAlign w:val="bottom"/>
            <w:tcBorders>
              <w:bottom w:val="single" w:sz="8" w:color="E5E6E6"/>
            </w:tcBorders>
          </w:tcPr>
          <w:p>
            <w:pPr>
              <w:spacing w:after="0"/>
              <w:rPr>
                <w:sz w:val="7"/>
                <w:szCs w:val="7"/>
                <w:color w:val="auto"/>
              </w:rPr>
            </w:pPr>
          </w:p>
        </w:tc>
        <w:tc>
          <w:tcPr>
            <w:tcW w:w="900" w:type="dxa"/>
            <w:vAlign w:val="bottom"/>
            <w:tcBorders>
              <w:bottom w:val="single" w:sz="8" w:color="E5E6E6"/>
            </w:tcBorders>
          </w:tcPr>
          <w:p>
            <w:pPr>
              <w:spacing w:after="0"/>
              <w:rPr>
                <w:sz w:val="7"/>
                <w:szCs w:val="7"/>
                <w:color w:val="auto"/>
              </w:rPr>
            </w:pPr>
          </w:p>
        </w:tc>
        <w:tc>
          <w:tcPr>
            <w:tcW w:w="100" w:type="dxa"/>
            <w:vAlign w:val="bottom"/>
            <w:tcBorders>
              <w:bottom w:val="single" w:sz="8" w:color="E5E6E6"/>
            </w:tcBorders>
          </w:tcPr>
          <w:p>
            <w:pPr>
              <w:spacing w:after="0"/>
              <w:rPr>
                <w:sz w:val="7"/>
                <w:szCs w:val="7"/>
                <w:color w:val="auto"/>
              </w:rPr>
            </w:pPr>
          </w:p>
        </w:tc>
      </w:tr>
    </w:tbl>
    <w:p>
      <w:pPr>
        <w:spacing w:after="0" w:line="113" w:lineRule="exact"/>
        <w:rPr>
          <w:sz w:val="20"/>
          <w:szCs w:val="20"/>
          <w:color w:val="auto"/>
        </w:rPr>
      </w:pPr>
    </w:p>
    <w:p>
      <w:pPr>
        <w:ind w:left="120" w:right="120" w:hanging="112"/>
        <w:spacing w:after="0" w:line="187" w:lineRule="auto"/>
        <w:tabs>
          <w:tab w:leader="none" w:pos="12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This category includes fees for professional services for the integrated audits of United’s consolidated financial statements including the audits of the effectiveness of our internal control over financial reporting, reviews of the financial statements included in United’s Quarterly Reports on Form 10-Q, statutory audits or financial statement audits of subsidiaries and comfort letters and consents related to registration statements filed with the SEC.</w:t>
      </w:r>
    </w:p>
    <w:p>
      <w:pPr>
        <w:spacing w:after="0" w:line="20" w:lineRule="exact"/>
        <w:rPr>
          <w:sz w:val="20"/>
          <w:szCs w:val="20"/>
          <w:color w:val="auto"/>
        </w:rPr>
      </w:pPr>
    </w:p>
    <w:p>
      <w:pPr>
        <w:jc w:val="both"/>
        <w:ind w:left="120" w:right="520" w:hanging="112"/>
        <w:spacing w:after="0" w:line="182" w:lineRule="auto"/>
        <w:tabs>
          <w:tab w:leader="none" w:pos="120" w:val="left"/>
        </w:tabs>
        <w:numPr>
          <w:ilvl w:val="0"/>
          <w:numId w:val="88"/>
        </w:numPr>
        <w:rPr>
          <w:rFonts w:ascii="Arial" w:cs="Arial" w:eastAsia="Arial" w:hAnsi="Arial"/>
          <w:sz w:val="23"/>
          <w:szCs w:val="23"/>
          <w:color w:val="auto"/>
          <w:vertAlign w:val="superscript"/>
        </w:rPr>
      </w:pPr>
      <w:r>
        <w:rPr>
          <w:rFonts w:ascii="Arial" w:cs="Arial" w:eastAsia="Arial" w:hAnsi="Arial"/>
          <w:sz w:val="14"/>
          <w:szCs w:val="14"/>
          <w:color w:val="auto"/>
        </w:rPr>
        <w:t>This category primarily includes fees billed for acquisition-related services that are reasonably related to the performance of the audit of United’s consolidated financial statements and effectiveness of internal control and are not reported within the audit fees category above. In 2020, these services included services related to United’s</w:t>
      </w:r>
    </w:p>
    <w:p>
      <w:pPr>
        <w:spacing w:after="0" w:line="1" w:lineRule="exact"/>
        <w:rPr>
          <w:sz w:val="20"/>
          <w:szCs w:val="20"/>
          <w:color w:val="auto"/>
        </w:rPr>
      </w:pPr>
    </w:p>
    <w:p>
      <w:pPr>
        <w:ind w:left="120" w:right="120"/>
        <w:spacing w:after="0" w:line="227" w:lineRule="auto"/>
        <w:rPr>
          <w:sz w:val="20"/>
          <w:szCs w:val="20"/>
          <w:color w:val="auto"/>
        </w:rPr>
      </w:pPr>
      <w:r>
        <w:rPr>
          <w:rFonts w:ascii="Arial" w:cs="Arial" w:eastAsia="Arial" w:hAnsi="Arial"/>
          <w:sz w:val="14"/>
          <w:szCs w:val="14"/>
          <w:color w:val="auto"/>
        </w:rPr>
        <w:t>acquisition of Three Shores Bancorporation, Inc. as well as services related to the adoption of CECL. In 2019, these services included services related to United’s acquisition of First Madison Bank &amp; Trust as well as services related to the adoption of CECL.</w:t>
      </w:r>
    </w:p>
    <w:p>
      <w:pPr>
        <w:ind w:left="120" w:hanging="112"/>
        <w:spacing w:after="0" w:line="188" w:lineRule="auto"/>
        <w:tabs>
          <w:tab w:leader="none" w:pos="120" w:val="left"/>
        </w:tabs>
        <w:numPr>
          <w:ilvl w:val="0"/>
          <w:numId w:val="89"/>
        </w:numPr>
        <w:rPr>
          <w:rFonts w:ascii="Arial" w:cs="Arial" w:eastAsia="Arial" w:hAnsi="Arial"/>
          <w:sz w:val="18"/>
          <w:szCs w:val="18"/>
          <w:color w:val="auto"/>
          <w:vertAlign w:val="superscript"/>
        </w:rPr>
      </w:pPr>
      <w:r>
        <w:rPr>
          <w:rFonts w:ascii="Arial" w:cs="Arial" w:eastAsia="Arial" w:hAnsi="Arial"/>
          <w:sz w:val="12"/>
          <w:szCs w:val="12"/>
          <w:color w:val="auto"/>
        </w:rPr>
        <w:t>There were no tax services provided by PwC in 2020 or 2019.</w:t>
      </w:r>
    </w:p>
    <w:p>
      <w:pPr>
        <w:ind w:left="120" w:hanging="112"/>
        <w:spacing w:after="0" w:line="181" w:lineRule="auto"/>
        <w:tabs>
          <w:tab w:leader="none" w:pos="120" w:val="left"/>
        </w:tabs>
        <w:numPr>
          <w:ilvl w:val="0"/>
          <w:numId w:val="90"/>
        </w:numPr>
        <w:rPr>
          <w:rFonts w:ascii="Arial" w:cs="Arial" w:eastAsia="Arial" w:hAnsi="Arial"/>
          <w:sz w:val="22"/>
          <w:szCs w:val="22"/>
          <w:color w:val="auto"/>
          <w:vertAlign w:val="superscript"/>
        </w:rPr>
      </w:pPr>
      <w:r>
        <w:rPr>
          <w:rFonts w:ascii="Arial" w:cs="Arial" w:eastAsia="Arial" w:hAnsi="Arial"/>
          <w:sz w:val="13"/>
          <w:szCs w:val="13"/>
          <w:color w:val="auto"/>
        </w:rPr>
        <w:t>Certain subscription services provided by PwC during 2020 and 2019 were considered to be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Audit Committee preapproves all audit and permissible nonaudit services to be provided by the Company’s independent auditors and has established preapproval policies and procedures for such services. Permissible nonaudit services are those allowed under SEC regulations. The Audit Committee may approve certain specific categories of permissible nonaudit services within an aggregated budgeted dollar limit upon the opinion that such services will not impair the independence of the independent auditor. The Audit Committee must approve on a project-by-project basis any permissible nonaudit services that do not fall within a preapproved category, or preapproved permissible nonaudit services that exceed the previously approved fees. The Audit Committee’s Chair (or any Audit Committee member if the Chair is unavailable) may preapprove such services between Audit Committee meetings and must report to the Audit Committee at its next meeting with respect to all services so preapproved. All services provided by PwC during 2020 and 2019 were approved by the Audit Committee and were permissible under applicable laws and regulations and will continue to be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58" w:name="page59"/>
    <w:bookmarkEnd w:id="58"/>
    <w:p>
      <w:pPr>
        <w:spacing w:after="0"/>
        <w:rPr>
          <w:sz w:val="20"/>
          <w:szCs w:val="20"/>
          <w:color w:val="auto"/>
        </w:rPr>
      </w:pPr>
      <w:r>
        <w:rPr>
          <w:rFonts w:ascii="Arial" w:cs="Arial" w:eastAsia="Arial" w:hAnsi="Arial"/>
          <w:sz w:val="32"/>
          <w:szCs w:val="32"/>
          <w:b w:val="1"/>
          <w:bCs w:val="1"/>
          <w:color w:val="133963"/>
        </w:rPr>
        <w:t>Solicitation, Meeting And Voting Information</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76A9"/>
        </w:rPr>
        <w:t>Q: What is this document?</w:t>
      </w:r>
    </w:p>
    <w:p>
      <w:pPr>
        <w:spacing w:after="0" w:line="224" w:lineRule="exact"/>
        <w:rPr>
          <w:sz w:val="20"/>
          <w:szCs w:val="20"/>
          <w:color w:val="auto"/>
        </w:rPr>
      </w:pPr>
    </w:p>
    <w:p>
      <w:pPr>
        <w:ind w:left="340" w:right="16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document is the Proxy Statement of United Community Banks, Inc. that is being made available to shareholders on the Internet, or sent to shareholders upon request, in connection with our 2021 Annual Meeting to be held on Wednesday, May 12, 2021 at 3:00 P.M. Eastern time exclusively online via the Internet.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76A9"/>
        </w:rPr>
        <w:t>Q: What documents constitute our Proxy Materials?</w:t>
      </w:r>
    </w:p>
    <w:p>
      <w:pPr>
        <w:spacing w:after="0" w:line="224" w:lineRule="exact"/>
        <w:rPr>
          <w:sz w:val="20"/>
          <w:szCs w:val="20"/>
          <w:color w:val="auto"/>
        </w:rPr>
      </w:pPr>
    </w:p>
    <w:p>
      <w:pPr>
        <w:ind w:left="340" w:right="380" w:hanging="332"/>
        <w:spacing w:after="0" w:line="274"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Proxy Materials include the Notice of 2021 Annual Meeting of Shareholders, the Proxy Statement, our 2020 Annual Report to Shareholders, our Annual Report on Form 10-K for the year ended December 31, 2020 and the proxy card or voting instruction form.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76A9"/>
        </w:rPr>
        <w:t>Q: What is a proxy, who is asking for it, and who is paying for the cost to solicit it?</w:t>
      </w:r>
    </w:p>
    <w:p>
      <w:pPr>
        <w:spacing w:after="0" w:line="224" w:lineRule="exact"/>
        <w:rPr>
          <w:sz w:val="20"/>
          <w:szCs w:val="20"/>
          <w:color w:val="auto"/>
        </w:rPr>
      </w:pPr>
    </w:p>
    <w:p>
      <w:pPr>
        <w:ind w:left="340" w:right="240" w:hanging="332"/>
        <w:spacing w:after="0" w:line="246"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proxy is your legal designation of another person, referred to as a proxy, to vote your stock. The document that designates someone as your proxy is also called a proxy and is also referred to as a proxy card.</w:t>
      </w:r>
    </w:p>
    <w:p>
      <w:pPr>
        <w:spacing w:after="0" w:line="183" w:lineRule="exact"/>
        <w:rPr>
          <w:sz w:val="20"/>
          <w:szCs w:val="20"/>
          <w:color w:val="auto"/>
        </w:rPr>
      </w:pPr>
    </w:p>
    <w:p>
      <w:pPr>
        <w:ind w:left="300" w:right="100"/>
        <w:spacing w:after="0" w:line="237" w:lineRule="auto"/>
        <w:rPr>
          <w:sz w:val="20"/>
          <w:szCs w:val="20"/>
          <w:color w:val="auto"/>
        </w:rPr>
      </w:pPr>
      <w:r>
        <w:rPr>
          <w:rFonts w:ascii="Arial" w:cs="Arial" w:eastAsia="Arial" w:hAnsi="Arial"/>
          <w:sz w:val="18"/>
          <w:szCs w:val="18"/>
          <w:color w:val="auto"/>
        </w:rPr>
        <w:t>Our directors, officers and employees are soliciting your proxy on behalf of our Board. Those persons will not receive additional payment or compensation for doing so except reimbursement for any related out-of-pocket expenses. We will, upon request, reimburse brokers, banks, custodians and similar organizations for their expenses in forwarding our Proxy Materials to beneficial owners. Solicitation of proxies by mail may be supplemented by telephone, personal contact, email and other electronic means, advertisements and personal solicitation, or otherwise. The Company will pay the expense of any proxy solicitation. We have not hired a proxy solicitor to assist in the solicitation of proxies.</w:t>
      </w:r>
    </w:p>
    <w:p>
      <w:pPr>
        <w:spacing w:after="0" w:line="159" w:lineRule="exact"/>
        <w:rPr>
          <w:sz w:val="20"/>
          <w:szCs w:val="20"/>
          <w:color w:val="auto"/>
        </w:rPr>
      </w:pPr>
    </w:p>
    <w:p>
      <w:pPr>
        <w:ind w:left="340" w:right="340" w:hanging="332"/>
        <w:spacing w:after="0" w:line="261" w:lineRule="auto"/>
        <w:tabs>
          <w:tab w:leader="none" w:pos="340" w:val="left"/>
        </w:tabs>
        <w:numPr>
          <w:ilvl w:val="0"/>
          <w:numId w:val="94"/>
        </w:numPr>
        <w:rPr>
          <w:rFonts w:ascii="Arial" w:cs="Arial" w:eastAsia="Arial" w:hAnsi="Arial"/>
          <w:sz w:val="22"/>
          <w:szCs w:val="22"/>
          <w:b w:val="1"/>
          <w:bCs w:val="1"/>
          <w:i w:val="1"/>
          <w:iCs w:val="1"/>
          <w:color w:val="0F76A9"/>
        </w:rPr>
      </w:pPr>
      <w:r>
        <w:rPr>
          <w:rFonts w:ascii="Arial" w:cs="Arial" w:eastAsia="Arial" w:hAnsi="Arial"/>
          <w:sz w:val="22"/>
          <w:szCs w:val="22"/>
          <w:b w:val="1"/>
          <w:bCs w:val="1"/>
          <w:i w:val="1"/>
          <w:iCs w:val="1"/>
          <w:color w:val="0F76A9"/>
        </w:rPr>
        <w:t>Why did I receive a one-page notice in the mail regarding the availability of Proxy Materials instead of a full set of Proxy Materials?</w:t>
      </w:r>
    </w:p>
    <w:p>
      <w:pPr>
        <w:spacing w:after="0" w:line="170" w:lineRule="exact"/>
        <w:rPr>
          <w:sz w:val="20"/>
          <w:szCs w:val="20"/>
          <w:color w:val="auto"/>
        </w:rPr>
      </w:pPr>
    </w:p>
    <w:p>
      <w:pPr>
        <w:ind w:left="340" w:right="20" w:hanging="332"/>
        <w:spacing w:after="0" w:line="236"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Pursuant to SEC rules, we are using the Internet as the primary means of furnishing our Proxy Materials to shareholders again this year. Accordingly, we are sending a Notice to the Company’s shareholders. If you received a Notice by mail, you will not receive a printed copy of the Proxy Materials unless you request printed copies. Instead, the Notice will instruct you as to how you may access and review our Proxy Materials online. All shareholders will have the ability to access our Proxy Materials on the website referred to in the Notice or request a printed set of our complete Proxy Materials. Instructions on how to request a paper or e-mail copy of our Proxy Materials also may be found in the Notice. In addition, shareholders may request to receive our Proxy Materials in printed form by mail or electronically by email on an ongoing basis. We encourage shareholders to take advantage of the availability of our Proxy Materials on the Internet to help reduce the environmental impact of our annual meetings and the cost to the Company associated with the physical printing and mailing of materials.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76A9"/>
        </w:rPr>
        <w:t>Q: Why am I receiving these Proxy Materials?</w:t>
      </w:r>
    </w:p>
    <w:p>
      <w:pPr>
        <w:spacing w:after="0" w:line="224" w:lineRule="exact"/>
        <w:rPr>
          <w:sz w:val="20"/>
          <w:szCs w:val="20"/>
          <w:color w:val="auto"/>
        </w:rPr>
      </w:pPr>
    </w:p>
    <w:p>
      <w:pPr>
        <w:ind w:left="340" w:hanging="332"/>
        <w:spacing w:after="0" w:line="238"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 received the Notice or paper copies of the Proxy Materials because you were one of our shareholders on March 15, 2021, the record date for the 2021 Annual Meeting. We are soliciting your proxy (i.e., your permission) to vote your shares of United common stock upon certain matters at the 2021 Annual Meeting. We are required by law to convene an annual meeting of our shareholders at which directors are elected. It would be impractical, if not impossible, for our shareholders to meet physically to hold a meeting. Accordingly, proxies are solicited from our shareholders. We began mailing the Notice on or about March 30, 2021.</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76A9"/>
        </w:rPr>
        <w:t>Q: What if I have more than one account?</w:t>
      </w:r>
    </w:p>
    <w:p>
      <w:pPr>
        <w:spacing w:after="0" w:line="224" w:lineRule="exact"/>
        <w:rPr>
          <w:sz w:val="20"/>
          <w:szCs w:val="20"/>
          <w:color w:val="auto"/>
        </w:rPr>
      </w:pPr>
    </w:p>
    <w:p>
      <w:pPr>
        <w:ind w:left="340" w:right="16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Please vote proxies for all accounts to ensure that all your shares are voted. You may consolidate multiple accounts with matching name(s) / registration through our transfer agent, Continental Stock Transfer &amp; Trust. Email cstmail@ continentalstock.com or call (800) 509-5586 to confirm if your accounts can be consolidated.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76A9"/>
        </w:rPr>
        <w:t>Q: Who may participate in the 2021 Annual Meeting?</w:t>
      </w:r>
    </w:p>
    <w:p>
      <w:pPr>
        <w:spacing w:after="0" w:line="224" w:lineRule="exact"/>
        <w:rPr>
          <w:sz w:val="20"/>
          <w:szCs w:val="20"/>
          <w:color w:val="auto"/>
        </w:rPr>
      </w:pPr>
    </w:p>
    <w:p>
      <w:pPr>
        <w:ind w:left="340" w:right="140" w:hanging="332"/>
        <w:spacing w:after="0" w:line="246"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Only shareholders and their proxy holders as of March 15, 2021, the record date for the 2021 Annual Meeting, will be able to participate in the 2021 Annual Meeting. As indicated, our 2021 Annual Meeting will be exclusively online.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i w:val="1"/>
          <w:iCs w:val="1"/>
          <w:color w:val="0F76A9"/>
        </w:rPr>
        <w:t>Q: How do I participate in the 2021 Annual Meeting?</w:t>
      </w:r>
    </w:p>
    <w:p>
      <w:pPr>
        <w:spacing w:after="0" w:line="224" w:lineRule="exact"/>
        <w:rPr>
          <w:sz w:val="20"/>
          <w:szCs w:val="20"/>
          <w:color w:val="auto"/>
        </w:rPr>
      </w:pPr>
    </w:p>
    <w:p>
      <w:pPr>
        <w:ind w:left="340" w:right="240" w:hanging="332"/>
        <w:spacing w:after="0" w:line="246"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participate in the virtual 2021 Annual Meeting, access www.virtualshareholdermeeting.com/UCBI2021 via the Internet and enter the control number found on your Notice, proxy card or voting instruction form that you receive.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76A9"/>
        </w:rPr>
        <w:t>Q: Who may vote at the 2021 Annual Meeting?</w:t>
      </w:r>
    </w:p>
    <w:p>
      <w:pPr>
        <w:spacing w:after="0" w:line="224" w:lineRule="exact"/>
        <w:rPr>
          <w:sz w:val="20"/>
          <w:szCs w:val="20"/>
          <w:color w:val="auto"/>
        </w:rPr>
      </w:pPr>
    </w:p>
    <w:p>
      <w:pPr>
        <w:ind w:left="340" w:right="80" w:hanging="332"/>
        <w:spacing w:after="0" w:line="238"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March 15, 2021, the record date for the 2021 Annual Meeting, are entitled to notice of and to vote at the 2021 Annual Meeting. As of that date, there were 86,774,637 shares of our common stock, $1.00 par value, issued and outstanding and entitled to be voted at the 2021 Annual Meeting. Each share of our common stock is entitled to one (1) vote on each matter considered at the 2021 Annual Meeting. No other class of United’s securities is currently entitled to vote on any matter at the 2021 Annual Meeting.</w:t>
      </w:r>
    </w:p>
    <w:p>
      <w:pPr>
        <w:spacing w:after="0" w:line="157" w:lineRule="exact"/>
        <w:rPr>
          <w:sz w:val="20"/>
          <w:szCs w:val="20"/>
          <w:color w:val="auto"/>
        </w:rPr>
      </w:pPr>
    </w:p>
    <w:p>
      <w:pPr>
        <w:ind w:left="340" w:right="880" w:hanging="332"/>
        <w:spacing w:after="0" w:line="261" w:lineRule="auto"/>
        <w:tabs>
          <w:tab w:leader="none" w:pos="340" w:val="left"/>
        </w:tabs>
        <w:numPr>
          <w:ilvl w:val="0"/>
          <w:numId w:val="101"/>
        </w:numPr>
        <w:rPr>
          <w:rFonts w:ascii="Arial" w:cs="Arial" w:eastAsia="Arial" w:hAnsi="Arial"/>
          <w:sz w:val="22"/>
          <w:szCs w:val="22"/>
          <w:b w:val="1"/>
          <w:bCs w:val="1"/>
          <w:i w:val="1"/>
          <w:iCs w:val="1"/>
          <w:color w:val="0F76A9"/>
        </w:rPr>
      </w:pPr>
      <w:r>
        <w:rPr>
          <w:rFonts w:ascii="Arial" w:cs="Arial" w:eastAsia="Arial" w:hAnsi="Arial"/>
          <w:sz w:val="22"/>
          <w:szCs w:val="22"/>
          <w:b w:val="1"/>
          <w:bCs w:val="1"/>
          <w:i w:val="1"/>
          <w:iCs w:val="1"/>
          <w:color w:val="0F76A9"/>
        </w:rPr>
        <w:t>How many votes will constitute a quorum at the 2021 Annual Meeting? Do abstentions and broker nonvotes count for the purposes of determining the presence of a quorum?</w:t>
      </w:r>
    </w:p>
    <w:p>
      <w:pPr>
        <w:spacing w:after="0" w:line="170" w:lineRule="exact"/>
        <w:rPr>
          <w:sz w:val="20"/>
          <w:szCs w:val="20"/>
          <w:color w:val="auto"/>
        </w:rPr>
      </w:pPr>
    </w:p>
    <w:p>
      <w:pPr>
        <w:ind w:left="340" w:hanging="332"/>
        <w:spacing w:after="0" w:line="238"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Amended and Restated Bylaws provide that the presence of the holders of a majority of the issued and outstanding shares of common stock entitled to vote, in person or represented by proxy, will constitute a quorum at the 2021 Annual Meeting. A quorum must exist to conduct any business at the 2021 Annual Meeting. If a quorum is not present at the 2021 Annual Meeting, any officer entitled to preside at or to act as Secretary of the 2021 Annual Meeting will have power to adjourn the 2021 Annual Meeting from time to time until a quorum is present.</w:t>
      </w:r>
    </w:p>
    <w:p>
      <w:pPr>
        <w:spacing w:after="0" w:line="189" w:lineRule="exact"/>
        <w:rPr>
          <w:sz w:val="20"/>
          <w:szCs w:val="20"/>
          <w:color w:val="auto"/>
        </w:rPr>
      </w:pPr>
    </w:p>
    <w:p>
      <w:pPr>
        <w:ind w:left="300" w:right="140"/>
        <w:spacing w:after="0" w:line="238" w:lineRule="auto"/>
        <w:rPr>
          <w:sz w:val="20"/>
          <w:szCs w:val="20"/>
          <w:color w:val="auto"/>
        </w:rPr>
      </w:pPr>
      <w:r>
        <w:rPr>
          <w:rFonts w:ascii="Arial" w:cs="Arial" w:eastAsia="Arial" w:hAnsi="Arial"/>
          <w:sz w:val="18"/>
          <w:szCs w:val="18"/>
          <w:color w:val="auto"/>
        </w:rPr>
        <w:t>Abstentions will be treated as shares that are present and entitled to vote for purposes of determining the presence of a quorum. Broker nonvotes are included in the calculation of the number of votes considered to be present at the 2021 Annual Meeting for purposes of determining the presence of a quorum only when there are “routine” matters to be voted upon. Because there is a “routine” matter to be voted upon at the 2021 Annual Meeting, broker nonvotes also will be included for purposes of determining a quorum.</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76A9"/>
        </w:rPr>
        <w:t>Q: Will a list of shareholders entitled to vote at the 2021 Annual Meeting be available?</w:t>
      </w:r>
    </w:p>
    <w:p>
      <w:pPr>
        <w:spacing w:after="0" w:line="224" w:lineRule="exact"/>
        <w:rPr>
          <w:sz w:val="20"/>
          <w:szCs w:val="20"/>
          <w:color w:val="auto"/>
        </w:rPr>
      </w:pPr>
    </w:p>
    <w:p>
      <w:pPr>
        <w:ind w:left="340" w:right="26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Yes. A list of shareholders entitled to vote at the 2021 Annual Meeting will be available for any purpose germane to the 2021 Annual Meeting after March 30, 2021 at our executive offices and will be accessible there through the date of the 2021 Annual Meeting during ordinary business hours. In addition, the list of shareholders will be available electronically during the 2021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F76A9"/>
        </w:rPr>
        <w:t>Q: What am I voting on at the 2021 Annual Meeting?</w:t>
      </w:r>
    </w:p>
    <w:p>
      <w:pPr>
        <w:spacing w:after="0" w:line="224"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There are four proposals to be considered and voted on at the 2021 Annual Meeting:</w:t>
      </w:r>
    </w:p>
    <w:p>
      <w:pPr>
        <w:spacing w:after="0" w:line="198" w:lineRule="exact"/>
        <w:rPr>
          <w:rFonts w:ascii="Arial" w:cs="Arial" w:eastAsia="Arial" w:hAnsi="Arial"/>
          <w:sz w:val="18"/>
          <w:szCs w:val="18"/>
          <w:color w:val="auto"/>
        </w:rPr>
      </w:pPr>
    </w:p>
    <w:p>
      <w:pPr>
        <w:ind w:left="1300" w:right="140" w:hanging="320"/>
        <w:spacing w:after="0"/>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Proposal 1 - To elect the eleven director nominees identified in this Proxy Statement to our Board, each to serve a one-year term expiring at the latter of the 2022 Annual Meeting of Shareholders or upon his or her successor being elected and qualified</w:t>
      </w:r>
    </w:p>
    <w:p>
      <w:pPr>
        <w:spacing w:after="0" w:line="202" w:lineRule="exact"/>
        <w:rPr>
          <w:rFonts w:ascii="Arial" w:cs="Arial" w:eastAsia="Arial" w:hAnsi="Arial"/>
          <w:sz w:val="18"/>
          <w:szCs w:val="18"/>
          <w:color w:val="auto"/>
        </w:rPr>
      </w:pPr>
    </w:p>
    <w:p>
      <w:pPr>
        <w:ind w:left="1300" w:right="320" w:hanging="320"/>
        <w:spacing w:after="0" w:line="246"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Proposal 2 - To approve an amendment to our Restated Articles of Incorporation, as amended, to increase the number of shares of our voting common stock, par value $1.00 available for issuance from 150,000,000 to 200,000,000</w:t>
      </w:r>
    </w:p>
    <w:p>
      <w:pPr>
        <w:spacing w:after="0" w:line="196" w:lineRule="exact"/>
        <w:rPr>
          <w:rFonts w:ascii="Arial" w:cs="Arial" w:eastAsia="Arial" w:hAnsi="Arial"/>
          <w:sz w:val="18"/>
          <w:szCs w:val="18"/>
          <w:color w:val="auto"/>
        </w:rPr>
      </w:pPr>
    </w:p>
    <w:p>
      <w:pPr>
        <w:ind w:left="1300" w:right="180" w:hanging="320"/>
        <w:spacing w:after="0" w:line="246"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Proposal 3 - To approve, on an advisory (nonbinding) basis, the compensation paid to our Named Executive Officers (“say-on-pay” proposal)</w:t>
      </w:r>
    </w:p>
    <w:p>
      <w:pPr>
        <w:spacing w:after="0" w:line="196" w:lineRule="exact"/>
        <w:rPr>
          <w:rFonts w:ascii="Arial" w:cs="Arial" w:eastAsia="Arial" w:hAnsi="Arial"/>
          <w:sz w:val="18"/>
          <w:szCs w:val="18"/>
          <w:color w:val="auto"/>
        </w:rPr>
      </w:pPr>
    </w:p>
    <w:p>
      <w:pPr>
        <w:ind w:left="1300" w:right="60" w:hanging="320"/>
        <w:spacing w:after="0" w:line="246" w:lineRule="auto"/>
        <w:tabs>
          <w:tab w:leader="none" w:pos="13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Proposal 4 - To ratify the appointment of PricewaterhouseCoopers LLP as our independent registered public accountants for 2021</w:t>
      </w:r>
    </w:p>
    <w:p>
      <w:pPr>
        <w:spacing w:after="0" w:line="197" w:lineRule="exact"/>
        <w:rPr>
          <w:sz w:val="20"/>
          <w:szCs w:val="20"/>
          <w:color w:val="auto"/>
        </w:rPr>
      </w:pPr>
    </w:p>
    <w:p>
      <w:pPr>
        <w:ind w:left="340" w:right="560"/>
        <w:spacing w:after="0" w:line="246" w:lineRule="auto"/>
        <w:rPr>
          <w:sz w:val="20"/>
          <w:szCs w:val="20"/>
          <w:color w:val="auto"/>
        </w:rPr>
      </w:pPr>
      <w:r>
        <w:rPr>
          <w:rFonts w:ascii="Arial" w:cs="Arial" w:eastAsia="Arial" w:hAnsi="Arial"/>
          <w:sz w:val="18"/>
          <w:szCs w:val="18"/>
          <w:color w:val="auto"/>
        </w:rPr>
        <w:t>We will also consider other business that properly comes before the 2021 Annual Meeting in accordance with Georgia law and our Bylaws.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0" w:name="page61"/>
    <w:bookmarkEnd w:id="60"/>
    <w:p>
      <w:pPr>
        <w:ind w:left="340" w:right="140" w:hanging="332"/>
        <w:spacing w:after="0" w:line="261" w:lineRule="auto"/>
        <w:tabs>
          <w:tab w:leader="none" w:pos="340" w:val="left"/>
        </w:tabs>
        <w:numPr>
          <w:ilvl w:val="0"/>
          <w:numId w:val="105"/>
        </w:numPr>
        <w:rPr>
          <w:rFonts w:ascii="Arial" w:cs="Arial" w:eastAsia="Arial" w:hAnsi="Arial"/>
          <w:sz w:val="22"/>
          <w:szCs w:val="22"/>
          <w:b w:val="1"/>
          <w:bCs w:val="1"/>
          <w:i w:val="1"/>
          <w:iCs w:val="1"/>
          <w:color w:val="0F76A9"/>
        </w:rPr>
      </w:pPr>
      <w:r>
        <w:rPr>
          <w:rFonts w:ascii="Arial" w:cs="Arial" w:eastAsia="Arial" w:hAnsi="Arial"/>
          <w:sz w:val="22"/>
          <w:szCs w:val="22"/>
          <w:b w:val="1"/>
          <w:bCs w:val="1"/>
          <w:i w:val="1"/>
          <w:iCs w:val="1"/>
          <w:color w:val="0F76A9"/>
        </w:rPr>
        <w:t>What are my choices when voting on the election of our eleven director nominees identified in this Proxy Statement, and what vote is needed to elect nominees to the Board?</w:t>
      </w:r>
    </w:p>
    <w:p>
      <w:pPr>
        <w:spacing w:after="0" w:line="170" w:lineRule="exact"/>
        <w:rPr>
          <w:sz w:val="20"/>
          <w:szCs w:val="20"/>
          <w:color w:val="auto"/>
        </w:rPr>
      </w:pPr>
    </w:p>
    <w:p>
      <w:pPr>
        <w:ind w:left="340" w:right="500" w:hanging="332"/>
        <w:spacing w:after="0" w:line="246"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Regarding the vote on the election of our eleven director nominees identified in this Proxy Statement to serve until the 2022 Annual Meeting of Shareholders or until his or her successor is elected and qualified, shareholders may:</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Vote “FOR ALL” director nominees;</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Vote “FOR ALL EXCEPT” specific director nominees; or</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Vote to “WITHHOLD ALL” votes for all director nominees.</w:t>
      </w:r>
    </w:p>
    <w:p>
      <w:pPr>
        <w:spacing w:after="0" w:line="212" w:lineRule="exact"/>
        <w:rPr>
          <w:sz w:val="20"/>
          <w:szCs w:val="20"/>
          <w:color w:val="auto"/>
        </w:rPr>
      </w:pPr>
    </w:p>
    <w:p>
      <w:pPr>
        <w:ind w:left="300" w:right="200"/>
        <w:spacing w:after="0" w:line="238" w:lineRule="auto"/>
        <w:rPr>
          <w:sz w:val="20"/>
          <w:szCs w:val="20"/>
          <w:color w:val="auto"/>
        </w:rPr>
      </w:pPr>
      <w:r>
        <w:rPr>
          <w:rFonts w:ascii="Arial" w:cs="Arial" w:eastAsia="Arial" w:hAnsi="Arial"/>
          <w:sz w:val="18"/>
          <w:szCs w:val="18"/>
          <w:color w:val="auto"/>
        </w:rPr>
        <w:t>Directors are elected by a plurality of the votes cast at the 2021 Annual Meeting by the shares represented in person or by proxy and entitled to vote on the election of directors at the 2021 Annual Meeting provided a quorum is present. Withholding of authority to vote in the election and broker nonvotes will not affect the outcome of the election, provided a quorum is present. As a result, the eleven nominees receiving the highest number of “FOR” votes will be elected as directors.</w:t>
      </w:r>
    </w:p>
    <w:p>
      <w:pPr>
        <w:spacing w:after="0" w:line="191" w:lineRule="exact"/>
        <w:rPr>
          <w:sz w:val="20"/>
          <w:szCs w:val="20"/>
          <w:color w:val="auto"/>
        </w:rPr>
      </w:pPr>
    </w:p>
    <w:p>
      <w:pPr>
        <w:ind w:left="300" w:right="60"/>
        <w:spacing w:after="0" w:line="237" w:lineRule="auto"/>
        <w:rPr>
          <w:sz w:val="20"/>
          <w:szCs w:val="20"/>
          <w:color w:val="auto"/>
        </w:rPr>
      </w:pPr>
      <w:r>
        <w:rPr>
          <w:rFonts w:ascii="Arial" w:cs="Arial" w:eastAsia="Arial" w:hAnsi="Arial"/>
          <w:sz w:val="18"/>
          <w:szCs w:val="18"/>
          <w:color w:val="auto"/>
        </w:rPr>
        <w:t>Our Board, however, has a majority vote policy, which provides that nominees for director who are elected but receive less than a majority of the votes cast for the election of directors may be asked to resign. The Board could waive this majority vote requirement in situations such as when a general campaign against the election of a class of directors of public companies resulted in a United nominee being elected with less than a majority vote without consideration of the particular facts and circumstances applicable to the individual United nominee. The Board would not waive the majority vote policy; however, if the votes cast resulted from a campaign directed specifically against the election of an individual United nominee, even in circumstances in which a majority of the Board disagrees with those voting against that director’s election.</w:t>
      </w:r>
    </w:p>
    <w:p>
      <w:pPr>
        <w:spacing w:after="0" w:line="158" w:lineRule="exact"/>
        <w:rPr>
          <w:sz w:val="20"/>
          <w:szCs w:val="20"/>
          <w:color w:val="auto"/>
        </w:rPr>
      </w:pPr>
    </w:p>
    <w:p>
      <w:pPr>
        <w:ind w:left="340" w:right="140" w:hanging="332"/>
        <w:spacing w:after="0"/>
        <w:tabs>
          <w:tab w:leader="none" w:pos="340" w:val="left"/>
        </w:tabs>
        <w:numPr>
          <w:ilvl w:val="0"/>
          <w:numId w:val="107"/>
        </w:numPr>
        <w:rPr>
          <w:rFonts w:ascii="Arial" w:cs="Arial" w:eastAsia="Arial" w:hAnsi="Arial"/>
          <w:sz w:val="22"/>
          <w:szCs w:val="22"/>
          <w:b w:val="1"/>
          <w:bCs w:val="1"/>
          <w:i w:val="1"/>
          <w:iCs w:val="1"/>
          <w:color w:val="0F76A9"/>
        </w:rPr>
      </w:pPr>
      <w:r>
        <w:rPr>
          <w:rFonts w:ascii="Arial" w:cs="Arial" w:eastAsia="Arial" w:hAnsi="Arial"/>
          <w:sz w:val="22"/>
          <w:szCs w:val="22"/>
          <w:b w:val="1"/>
          <w:bCs w:val="1"/>
          <w:i w:val="1"/>
          <w:iCs w:val="1"/>
          <w:color w:val="0F76A9"/>
        </w:rPr>
        <w:t>What are my choices when voting on the proposed amendment to our Restated Articles of Incorporation, as amended, to increase the number of shares of our voting common stock, par value $1.00 available for issuance from 150,000,000 to 200,000,000 (the Increased Capitalization Proposal), and what vote is needed to approve the Increased Capitalization Proposal?</w:t>
      </w:r>
    </w:p>
    <w:p>
      <w:pPr>
        <w:spacing w:after="0" w:line="194"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Regarding the Increased Capitalization Proposal, shareholders may:</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Vote “FOR” the Increased Capitalization Proposal;</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Vote “AGAINST” the Increased Capitalization Proposal; or</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“ABSTAIN” from voting on the Increased Capitalization Proposal.</w:t>
      </w:r>
    </w:p>
    <w:p>
      <w:pPr>
        <w:spacing w:after="0" w:line="212" w:lineRule="exact"/>
        <w:rPr>
          <w:sz w:val="20"/>
          <w:szCs w:val="20"/>
          <w:color w:val="auto"/>
        </w:rPr>
      </w:pPr>
    </w:p>
    <w:p>
      <w:pPr>
        <w:ind w:left="300" w:right="200"/>
        <w:spacing w:after="0" w:line="246" w:lineRule="auto"/>
        <w:rPr>
          <w:sz w:val="20"/>
          <w:szCs w:val="20"/>
          <w:color w:val="auto"/>
        </w:rPr>
      </w:pPr>
      <w:r>
        <w:rPr>
          <w:rFonts w:ascii="Arial" w:cs="Arial" w:eastAsia="Arial" w:hAnsi="Arial"/>
          <w:sz w:val="18"/>
          <w:szCs w:val="18"/>
          <w:color w:val="auto"/>
        </w:rPr>
        <w:t>If a quorum exists at the 2021 Annual Meeting, the affirmative vote of a majority of the outstanding shares of our common stock entitled to vote at the 2021 Annual Meeting is required to approve the Increased Capitalization Proposal.</w:t>
      </w:r>
    </w:p>
    <w:p>
      <w:pPr>
        <w:spacing w:after="0" w:line="152" w:lineRule="exact"/>
        <w:rPr>
          <w:sz w:val="20"/>
          <w:szCs w:val="20"/>
          <w:color w:val="auto"/>
        </w:rPr>
      </w:pPr>
    </w:p>
    <w:p>
      <w:pPr>
        <w:jc w:val="both"/>
        <w:ind w:left="340" w:right="460" w:hanging="332"/>
        <w:spacing w:after="0" w:line="245" w:lineRule="auto"/>
        <w:tabs>
          <w:tab w:leader="none" w:pos="340" w:val="left"/>
        </w:tabs>
        <w:numPr>
          <w:ilvl w:val="0"/>
          <w:numId w:val="109"/>
        </w:numPr>
        <w:rPr>
          <w:rFonts w:ascii="Arial" w:cs="Arial" w:eastAsia="Arial" w:hAnsi="Arial"/>
          <w:sz w:val="22"/>
          <w:szCs w:val="22"/>
          <w:b w:val="1"/>
          <w:bCs w:val="1"/>
          <w:i w:val="1"/>
          <w:iCs w:val="1"/>
          <w:color w:val="0F76A9"/>
        </w:rPr>
      </w:pPr>
      <w:r>
        <w:rPr>
          <w:rFonts w:ascii="Arial" w:cs="Arial" w:eastAsia="Arial" w:hAnsi="Arial"/>
          <w:sz w:val="22"/>
          <w:szCs w:val="22"/>
          <w:b w:val="1"/>
          <w:bCs w:val="1"/>
          <w:i w:val="1"/>
          <w:iCs w:val="1"/>
          <w:color w:val="0F76A9"/>
        </w:rPr>
        <w:t>What are my choices when voting on the advisory (nonbinding) proposal regarding the compensation paid to the Company’s Named Executive Officers (“say-on-pay” proposal), and what vote is needed to approve the advisory “say-on-pay” proposal?</w:t>
      </w:r>
    </w:p>
    <w:p>
      <w:pPr>
        <w:spacing w:after="0" w:line="188"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Regarding the advisory (nonbinding) proposal on the compensation paid to our Named Executive Officers, shareholders may:</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Vote “FOR” the advisory “say-on-pay” proposal;</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Vote “AGAINST” the advisory “say-on-pay” proposal; or</w:t>
      </w:r>
    </w:p>
    <w:p>
      <w:pPr>
        <w:spacing w:after="0" w:line="211" w:lineRule="exact"/>
        <w:rPr>
          <w:rFonts w:ascii="Arial" w:cs="Arial" w:eastAsia="Arial" w:hAnsi="Arial"/>
          <w:sz w:val="18"/>
          <w:szCs w:val="18"/>
          <w:color w:val="auto"/>
        </w:rPr>
      </w:pPr>
    </w:p>
    <w:p>
      <w:pPr>
        <w:ind w:left="1300" w:hanging="320"/>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“ABSTAIN” from voting on the advisory “say-on-pay” proposal.</w:t>
      </w:r>
    </w:p>
    <w:p>
      <w:pPr>
        <w:spacing w:after="0" w:line="212" w:lineRule="exact"/>
        <w:rPr>
          <w:sz w:val="20"/>
          <w:szCs w:val="20"/>
          <w:color w:val="auto"/>
        </w:rPr>
      </w:pPr>
    </w:p>
    <w:p>
      <w:pPr>
        <w:ind w:left="300" w:right="40"/>
        <w:spacing w:after="0" w:line="238" w:lineRule="auto"/>
        <w:rPr>
          <w:sz w:val="20"/>
          <w:szCs w:val="20"/>
          <w:color w:val="auto"/>
        </w:rPr>
      </w:pPr>
      <w:r>
        <w:rPr>
          <w:rFonts w:ascii="Arial" w:cs="Arial" w:eastAsia="Arial" w:hAnsi="Arial"/>
          <w:sz w:val="18"/>
          <w:szCs w:val="18"/>
          <w:color w:val="auto"/>
        </w:rPr>
        <w:t>If a quorum exists at the 2021 Annual Meeting, approval of the “say-on-pay” proposal requires that the number of votes cast “FOR” the proposal exceed the number of votes cast “AGAINST” the proposal. As an advisory vote, this proposal is not binding upon us. However, our Talent and Compensation Committee is responsible for designing and administering our executive compensation program, values the opinions expressed by our shareholders and will consider the outcome of the vote when making future compensation decisions.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1" w:name="page62"/>
    <w:bookmarkEnd w:id="61"/>
    <w:p>
      <w:pPr>
        <w:ind w:left="320" w:right="80" w:hanging="312"/>
        <w:spacing w:after="0" w:line="245" w:lineRule="auto"/>
        <w:tabs>
          <w:tab w:leader="none" w:pos="309" w:val="left"/>
        </w:tabs>
        <w:numPr>
          <w:ilvl w:val="0"/>
          <w:numId w:val="111"/>
        </w:numPr>
        <w:rPr>
          <w:rFonts w:ascii="Arial" w:cs="Arial" w:eastAsia="Arial" w:hAnsi="Arial"/>
          <w:sz w:val="22"/>
          <w:szCs w:val="22"/>
          <w:b w:val="1"/>
          <w:bCs w:val="1"/>
          <w:i w:val="1"/>
          <w:iCs w:val="1"/>
          <w:color w:val="1278A9"/>
        </w:rPr>
      </w:pPr>
      <w:r>
        <w:rPr>
          <w:rFonts w:ascii="Arial" w:cs="Arial" w:eastAsia="Arial" w:hAnsi="Arial"/>
          <w:sz w:val="22"/>
          <w:szCs w:val="22"/>
          <w:b w:val="1"/>
          <w:bCs w:val="1"/>
          <w:i w:val="1"/>
          <w:iCs w:val="1"/>
          <w:color w:val="1278A9"/>
        </w:rPr>
        <w:t>What are my choices when voting on the ratification of the appointment of PwC as the Company’s independent registered public accountants for the fiscal year ending December 31, 2021, and what vote is needed to ratify their appointment?</w:t>
      </w:r>
    </w:p>
    <w:p>
      <w:pPr>
        <w:spacing w:after="0" w:line="188" w:lineRule="exact"/>
        <w:rPr>
          <w:sz w:val="20"/>
          <w:szCs w:val="20"/>
          <w:color w:val="auto"/>
        </w:rPr>
      </w:pPr>
    </w:p>
    <w:p>
      <w:pPr>
        <w:ind w:left="320" w:right="320" w:hanging="312"/>
        <w:spacing w:after="0" w:line="246" w:lineRule="auto"/>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Regarding the vote on the proposal to ratify the appointment of PwC as the Company’s independent registered public accountants for 2021, shareholders may:</w:t>
      </w:r>
    </w:p>
    <w:p>
      <w:pPr>
        <w:spacing w:after="0" w:line="183" w:lineRule="exact"/>
        <w:rPr>
          <w:rFonts w:ascii="Arial" w:cs="Arial" w:eastAsia="Arial" w:hAnsi="Arial"/>
          <w:sz w:val="18"/>
          <w:szCs w:val="18"/>
          <w:color w:val="auto"/>
        </w:rPr>
      </w:pPr>
    </w:p>
    <w:p>
      <w:pPr>
        <w:ind w:left="960" w:right="100" w:hanging="331"/>
        <w:spacing w:after="0" w:line="246" w:lineRule="auto"/>
        <w:tabs>
          <w:tab w:leader="none" w:pos="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Vote “FOR” the ratification of the appointment of PwC as the Company’s independent registered public accountants for the fiscal year ending December 31, 2021;</w:t>
      </w:r>
    </w:p>
    <w:p>
      <w:pPr>
        <w:spacing w:after="0" w:line="183" w:lineRule="exact"/>
        <w:rPr>
          <w:rFonts w:ascii="Arial" w:cs="Arial" w:eastAsia="Arial" w:hAnsi="Arial"/>
          <w:sz w:val="18"/>
          <w:szCs w:val="18"/>
          <w:color w:val="auto"/>
        </w:rPr>
      </w:pPr>
    </w:p>
    <w:p>
      <w:pPr>
        <w:ind w:left="960" w:right="140" w:hanging="331"/>
        <w:spacing w:after="0" w:line="246" w:lineRule="auto"/>
        <w:tabs>
          <w:tab w:leader="none" w:pos="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Vote “AGAINST” the ratification of the appointment of PwC as the Company’s independent registered public accountants for the fiscal year ending December 31, 2021; or</w:t>
      </w:r>
    </w:p>
    <w:p>
      <w:pPr>
        <w:spacing w:after="0" w:line="183" w:lineRule="exact"/>
        <w:rPr>
          <w:rFonts w:ascii="Arial" w:cs="Arial" w:eastAsia="Arial" w:hAnsi="Arial"/>
          <w:sz w:val="18"/>
          <w:szCs w:val="18"/>
          <w:color w:val="auto"/>
        </w:rPr>
      </w:pPr>
    </w:p>
    <w:p>
      <w:pPr>
        <w:ind w:left="960" w:right="980" w:hanging="331"/>
        <w:spacing w:after="0" w:line="246" w:lineRule="auto"/>
        <w:tabs>
          <w:tab w:leader="none" w:pos="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“ABSTAIN” from voting on the ratification of the appointment of PwC as the Company’s independent registered public accountants for the fiscal year ending December 31, 2021.</w:t>
      </w:r>
    </w:p>
    <w:p>
      <w:pPr>
        <w:spacing w:after="0" w:line="183" w:lineRule="exact"/>
        <w:rPr>
          <w:sz w:val="20"/>
          <w:szCs w:val="20"/>
          <w:color w:val="auto"/>
        </w:rPr>
      </w:pPr>
    </w:p>
    <w:p>
      <w:pPr>
        <w:ind w:left="320" w:right="560"/>
        <w:spacing w:after="0"/>
        <w:rPr>
          <w:sz w:val="20"/>
          <w:szCs w:val="20"/>
          <w:color w:val="auto"/>
        </w:rPr>
      </w:pPr>
      <w:r>
        <w:rPr>
          <w:rFonts w:ascii="Arial" w:cs="Arial" w:eastAsia="Arial" w:hAnsi="Arial"/>
          <w:sz w:val="18"/>
          <w:szCs w:val="18"/>
          <w:color w:val="auto"/>
        </w:rPr>
        <w:t>If a quorum exists at the 2021 Annual Meeting, the approval of the proposal to ratify the appointment of PwC as our independent registered public accountants for 2021 requires that the number of votes cast “FOR” the proposal exceed the number of votes cast “AGAINST” the proposal.</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How does the Company’s Board recommend that I vote?</w:t>
      </w:r>
    </w:p>
    <w:p>
      <w:pPr>
        <w:spacing w:after="0" w:line="224"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Board unanimously recommends that you vote:</w:t>
      </w:r>
    </w:p>
    <w:p>
      <w:pPr>
        <w:spacing w:after="0" w:line="198" w:lineRule="exact"/>
        <w:rPr>
          <w:rFonts w:ascii="Arial" w:cs="Arial" w:eastAsia="Arial" w:hAnsi="Arial"/>
          <w:sz w:val="18"/>
          <w:szCs w:val="18"/>
          <w:color w:val="auto"/>
        </w:rPr>
      </w:pPr>
    </w:p>
    <w:p>
      <w:pPr>
        <w:ind w:left="960" w:hanging="331"/>
        <w:spacing w:after="0"/>
        <w:tabs>
          <w:tab w:leader="none" w:pos="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“FOR ALL” eleven nominees to our Board identified in this Proxy Statement;</w:t>
      </w:r>
    </w:p>
    <w:p>
      <w:pPr>
        <w:spacing w:after="0" w:line="198" w:lineRule="exact"/>
        <w:rPr>
          <w:rFonts w:ascii="Arial" w:cs="Arial" w:eastAsia="Arial" w:hAnsi="Arial"/>
          <w:sz w:val="18"/>
          <w:szCs w:val="18"/>
          <w:color w:val="auto"/>
        </w:rPr>
      </w:pPr>
    </w:p>
    <w:p>
      <w:pPr>
        <w:ind w:left="960" w:hanging="331"/>
        <w:spacing w:after="0"/>
        <w:tabs>
          <w:tab w:leader="none" w:pos="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“FOR” the Increased Capitalization Proposal;</w:t>
      </w:r>
    </w:p>
    <w:p>
      <w:pPr>
        <w:spacing w:after="0" w:line="198" w:lineRule="exact"/>
        <w:rPr>
          <w:rFonts w:ascii="Arial" w:cs="Arial" w:eastAsia="Arial" w:hAnsi="Arial"/>
          <w:sz w:val="18"/>
          <w:szCs w:val="18"/>
          <w:color w:val="auto"/>
        </w:rPr>
      </w:pPr>
    </w:p>
    <w:p>
      <w:pPr>
        <w:ind w:left="960" w:right="540" w:hanging="331"/>
        <w:spacing w:after="0" w:line="246" w:lineRule="auto"/>
        <w:tabs>
          <w:tab w:leader="none" w:pos="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“FOR” the advisory (nonbinding) proposal regarding the compensation paid to our Named Executive Officers (“say-on-pay” proposal); and</w:t>
      </w:r>
    </w:p>
    <w:p>
      <w:pPr>
        <w:spacing w:after="0" w:line="183" w:lineRule="exact"/>
        <w:rPr>
          <w:rFonts w:ascii="Arial" w:cs="Arial" w:eastAsia="Arial" w:hAnsi="Arial"/>
          <w:sz w:val="18"/>
          <w:szCs w:val="18"/>
          <w:color w:val="auto"/>
        </w:rPr>
      </w:pPr>
    </w:p>
    <w:p>
      <w:pPr>
        <w:ind w:left="960" w:hanging="331"/>
        <w:spacing w:after="0"/>
        <w:tabs>
          <w:tab w:leader="none" w:pos="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“FOR” the ratification of the appointment of PwC as our independent registered public accountants for 2021.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How do I cast my vote?</w:t>
      </w:r>
    </w:p>
    <w:p>
      <w:pPr>
        <w:spacing w:after="0" w:line="224" w:lineRule="exact"/>
        <w:rPr>
          <w:sz w:val="20"/>
          <w:szCs w:val="20"/>
          <w:color w:val="auto"/>
        </w:rPr>
      </w:pPr>
    </w:p>
    <w:p>
      <w:pPr>
        <w:ind w:left="320" w:hanging="312"/>
        <w:spacing w:after="0"/>
        <w:tabs>
          <w:tab w:leader="none" w:pos="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is important that your shares be represented at the 2021 Annual Meeting. We urge you to please vote your proxy in advance of the 2021 Annual Meeting so that we can be assured of having a quorum present at the 2021 Annual Meeting and so that your shares may be voted in accordance with your wishes, even if you later decide to participate in the 2021 Annual Meeting.</w:t>
      </w:r>
    </w:p>
    <w:p>
      <w:pPr>
        <w:spacing w:after="0" w:line="189" w:lineRule="exact"/>
        <w:rPr>
          <w:rFonts w:ascii="Arial" w:cs="Arial" w:eastAsia="Arial" w:hAnsi="Arial"/>
          <w:sz w:val="18"/>
          <w:szCs w:val="18"/>
          <w:color w:val="auto"/>
        </w:rPr>
      </w:pPr>
    </w:p>
    <w:p>
      <w:pPr>
        <w:ind w:left="300" w:right="120"/>
        <w:spacing w:after="0" w:line="238" w:lineRule="auto"/>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our transfer agent, Continental Stock Transfer &amp; Trust, you are considered a shareholder of record with respect to those shares (“record holder”). If you are a record holder, the Notice is being sent to you directly by Broadridge Investor Communication Solutions, Inc. (“Broadridge”). Please carefully consider the information contained in this Proxy Statement and, whether or not you plan to participate in the 2021 Annual Meeting via the Internet, please vote by:</w:t>
      </w:r>
    </w:p>
    <w:p>
      <w:pPr>
        <w:spacing w:after="0" w:line="191" w:lineRule="exact"/>
        <w:rPr>
          <w:rFonts w:ascii="Arial" w:cs="Arial" w:eastAsia="Arial" w:hAnsi="Arial"/>
          <w:sz w:val="18"/>
          <w:szCs w:val="18"/>
          <w:color w:val="auto"/>
        </w:rPr>
      </w:pPr>
    </w:p>
    <w:p>
      <w:pPr>
        <w:ind w:left="960" w:hanging="331"/>
        <w:spacing w:after="0"/>
        <w:tabs>
          <w:tab w:leader="none" w:pos="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Internet: Access www.proxyvote.com (you will need the control number from your Notice); or</w:t>
      </w:r>
    </w:p>
    <w:p>
      <w:pPr>
        <w:spacing w:after="0" w:line="198" w:lineRule="exact"/>
        <w:rPr>
          <w:rFonts w:ascii="Arial" w:cs="Arial" w:eastAsia="Arial" w:hAnsi="Arial"/>
          <w:sz w:val="18"/>
          <w:szCs w:val="18"/>
          <w:color w:val="auto"/>
        </w:rPr>
      </w:pPr>
    </w:p>
    <w:p>
      <w:pPr>
        <w:ind w:left="960" w:right="280" w:hanging="331"/>
        <w:spacing w:after="0" w:line="246" w:lineRule="auto"/>
        <w:tabs>
          <w:tab w:leader="none" w:pos="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Telephone: Call the toll-free number specified after accessing the Proxy Materials on www.proxyvote.com or on the proxy card that you receive if you requested printed copies of the Proxy Materials; or</w:t>
      </w:r>
    </w:p>
    <w:p>
      <w:pPr>
        <w:spacing w:after="0" w:line="183" w:lineRule="exact"/>
        <w:rPr>
          <w:rFonts w:ascii="Arial" w:cs="Arial" w:eastAsia="Arial" w:hAnsi="Arial"/>
          <w:sz w:val="18"/>
          <w:szCs w:val="18"/>
          <w:color w:val="auto"/>
        </w:rPr>
      </w:pPr>
    </w:p>
    <w:p>
      <w:pPr>
        <w:ind w:left="960" w:hanging="331"/>
        <w:spacing w:after="0"/>
        <w:tabs>
          <w:tab w:leader="none" w:pos="9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Mail: Request paper copies of the Proxy Materials which will include a proxy card that includes instructions for voting by mail.</w:t>
      </w:r>
    </w:p>
    <w:p>
      <w:pPr>
        <w:spacing w:after="0" w:line="198" w:lineRule="exact"/>
        <w:rPr>
          <w:sz w:val="20"/>
          <w:szCs w:val="20"/>
          <w:color w:val="auto"/>
        </w:rPr>
      </w:pPr>
    </w:p>
    <w:p>
      <w:pPr>
        <w:ind w:left="320" w:right="40"/>
        <w:spacing w:after="0" w:line="238" w:lineRule="auto"/>
        <w:rPr>
          <w:sz w:val="20"/>
          <w:szCs w:val="20"/>
          <w:color w:val="auto"/>
        </w:rPr>
      </w:pPr>
      <w:r>
        <w:rPr>
          <w:rFonts w:ascii="Arial" w:cs="Arial" w:eastAsia="Arial" w:hAnsi="Arial"/>
          <w:sz w:val="18"/>
          <w:szCs w:val="18"/>
          <w:color w:val="auto"/>
        </w:rPr>
        <w:t>You may also vote during the 2021 Annual Meeting by following the instructions available on the meeting website during the meeting. We hope you will participate in the 2021 Annual Meeting. However, even if you anticipate attending the virtual meeting, we urge you to please vote your proxy either by Internet, telephone or mail in advance of the 2021 Annual Meeting to ensure that your shares will be represented.</w:t>
      </w:r>
    </w:p>
    <w:p>
      <w:pPr>
        <w:spacing w:after="0" w:line="191" w:lineRule="exact"/>
        <w:rPr>
          <w:sz w:val="20"/>
          <w:szCs w:val="20"/>
          <w:color w:val="auto"/>
        </w:rPr>
      </w:pPr>
    </w:p>
    <w:p>
      <w:pPr>
        <w:ind w:left="300" w:right="60"/>
        <w:spacing w:after="0"/>
        <w:rPr>
          <w:sz w:val="20"/>
          <w:szCs w:val="20"/>
          <w:color w:val="auto"/>
        </w:rPr>
      </w:pPr>
      <w:r>
        <w:rPr>
          <w:rFonts w:ascii="Arial" w:cs="Arial" w:eastAsia="Arial" w:hAnsi="Arial"/>
          <w:sz w:val="18"/>
          <w:szCs w:val="18"/>
          <w:color w:val="auto"/>
        </w:rPr>
        <w:t>If your shares are held by a broker, bank or other nominee (this is called “street name”), your broker, bank or other nominee will send you instructions for voting those shares. Many (but not all) brokerage firms, banks and other nominees participate in a program that offers various voting options.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ind w:left="320" w:right="140" w:hanging="312"/>
        <w:spacing w:after="0" w:line="261" w:lineRule="auto"/>
        <w:tabs>
          <w:tab w:leader="none" w:pos="309" w:val="left"/>
        </w:tabs>
        <w:numPr>
          <w:ilvl w:val="0"/>
          <w:numId w:val="115"/>
        </w:numPr>
        <w:rPr>
          <w:rFonts w:ascii="Arial" w:cs="Arial" w:eastAsia="Arial" w:hAnsi="Arial"/>
          <w:sz w:val="22"/>
          <w:szCs w:val="22"/>
          <w:b w:val="1"/>
          <w:bCs w:val="1"/>
          <w:i w:val="1"/>
          <w:iCs w:val="1"/>
          <w:color w:val="1278A9"/>
        </w:rPr>
      </w:pPr>
      <w:r>
        <w:rPr>
          <w:rFonts w:ascii="Arial" w:cs="Arial" w:eastAsia="Arial" w:hAnsi="Arial"/>
          <w:sz w:val="22"/>
          <w:szCs w:val="22"/>
          <w:b w:val="1"/>
          <w:bCs w:val="1"/>
          <w:i w:val="1"/>
          <w:iCs w:val="1"/>
          <w:color w:val="1278A9"/>
        </w:rPr>
        <w:t>If I vote prior to the 2021 Annual Meeting, can I still participate in the 2021 Annual Meeting and vote at the 2021 Annual Meeting if I so choose?</w:t>
      </w:r>
    </w:p>
    <w:p>
      <w:pPr>
        <w:spacing w:after="0" w:line="170" w:lineRule="exact"/>
        <w:rPr>
          <w:sz w:val="20"/>
          <w:szCs w:val="20"/>
          <w:color w:val="auto"/>
        </w:rPr>
      </w:pPr>
    </w:p>
    <w:p>
      <w:pPr>
        <w:ind w:left="320" w:right="280" w:hanging="312"/>
        <w:spacing w:after="0" w:line="246" w:lineRule="auto"/>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Yes. If you are a shareholder of record, voting in advance of the 2021 Annual Meeting will not limit your right to vote at the virtual 2021 Annual Meeting if you so choose.</w:t>
      </w:r>
    </w:p>
    <w:p>
      <w:pPr>
        <w:spacing w:after="0" w:line="183" w:lineRule="exact"/>
        <w:rPr>
          <w:rFonts w:ascii="Arial" w:cs="Arial" w:eastAsia="Arial" w:hAnsi="Arial"/>
          <w:sz w:val="18"/>
          <w:szCs w:val="18"/>
          <w:color w:val="auto"/>
        </w:rPr>
      </w:pPr>
    </w:p>
    <w:p>
      <w:pPr>
        <w:ind w:left="300" w:right="40"/>
        <w:spacing w:after="0" w:line="238" w:lineRule="auto"/>
        <w:rPr>
          <w:rFonts w:ascii="Arial" w:cs="Arial" w:eastAsia="Arial" w:hAnsi="Arial"/>
          <w:sz w:val="18"/>
          <w:szCs w:val="18"/>
          <w:color w:val="auto"/>
        </w:rPr>
      </w:pPr>
      <w:r>
        <w:rPr>
          <w:rFonts w:ascii="Arial" w:cs="Arial" w:eastAsia="Arial" w:hAnsi="Arial"/>
          <w:sz w:val="18"/>
          <w:szCs w:val="18"/>
          <w:color w:val="auto"/>
        </w:rPr>
        <w:t>As indicated, we are hosting the 2021 Annual Meeting exclusively online. There will be no physical location at which shareholders may attend the 2021 Annual Meeting, but shareholders may attend and participate in the 2021 Annual Meeting electronically. Shareholders eligible to participate in the virtual Annual Meeting will be deemed to be present in person and will be able to vote during the 2021 Annual Meeting, during the times that the voting polls are open, if they so choose.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May I revoke my proxy after I have delivered my proxy?</w:t>
      </w:r>
    </w:p>
    <w:p>
      <w:pPr>
        <w:spacing w:after="0" w:line="224" w:lineRule="exact"/>
        <w:rPr>
          <w:sz w:val="20"/>
          <w:szCs w:val="20"/>
          <w:color w:val="auto"/>
        </w:rPr>
      </w:pPr>
    </w:p>
    <w:p>
      <w:pPr>
        <w:ind w:left="320" w:right="40" w:hanging="312"/>
        <w:spacing w:after="0" w:line="238" w:lineRule="auto"/>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Yes. You may revoke your proxy at any time before the voting polls close by submitting a subsequent proxy with a later date by Internet, telephone or mail or by sending our Corporate Secretary a written revocation. Any previously submitted proxy also will be considered revoked if you participate in the virtual 2021 Annual Meeting and vote via the virtual portal (see If I vote prior to the 2021 Annual Meeting, can I still participate in the 2021 Annual Meeting and vote at the 2021 Annual Meeting if I so choose).</w:t>
      </w:r>
    </w:p>
    <w:p>
      <w:pPr>
        <w:spacing w:after="0" w:line="191" w:lineRule="exact"/>
        <w:rPr>
          <w:rFonts w:ascii="Arial" w:cs="Arial" w:eastAsia="Arial" w:hAnsi="Arial"/>
          <w:sz w:val="18"/>
          <w:szCs w:val="18"/>
          <w:color w:val="auto"/>
        </w:rPr>
      </w:pPr>
    </w:p>
    <w:p>
      <w:pPr>
        <w:ind w:left="320" w:right="120"/>
        <w:spacing w:after="0" w:line="246" w:lineRule="auto"/>
        <w:rPr>
          <w:rFonts w:ascii="Arial" w:cs="Arial" w:eastAsia="Arial" w:hAnsi="Arial"/>
          <w:sz w:val="18"/>
          <w:szCs w:val="18"/>
          <w:color w:val="auto"/>
        </w:rPr>
      </w:pPr>
      <w:r>
        <w:rPr>
          <w:rFonts w:ascii="Arial" w:cs="Arial" w:eastAsia="Arial" w:hAnsi="Arial"/>
          <w:sz w:val="18"/>
          <w:szCs w:val="18"/>
          <w:color w:val="auto"/>
        </w:rPr>
        <w:t>If your shares are held in street name by a broker, bank or other nominee, you must contact your broker, bank or other nominee in order to change your vote or obtain a proxy to vote your shares if you wish to cast your vote during the virtual 2021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Is cumulative voting allowed? Do I have dissenters’ or appraisal rights?</w:t>
      </w:r>
    </w:p>
    <w:p>
      <w:pPr>
        <w:spacing w:after="0" w:line="224" w:lineRule="exact"/>
        <w:rPr>
          <w:sz w:val="20"/>
          <w:szCs w:val="20"/>
          <w:color w:val="auto"/>
        </w:rPr>
      </w:pPr>
    </w:p>
    <w:p>
      <w:pPr>
        <w:ind w:left="320" w:right="380" w:hanging="312"/>
        <w:spacing w:after="0" w:line="246" w:lineRule="auto"/>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Cumulative voting rights are not authorized, and dissenters’ rights and rights of appraisal are not applicable to any of the matters being voted upon at the 2021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What are broker votes and broker nonvotes? How are they treated?</w:t>
      </w:r>
    </w:p>
    <w:p>
      <w:pPr>
        <w:spacing w:after="0" w:line="224" w:lineRule="exact"/>
        <w:rPr>
          <w:sz w:val="20"/>
          <w:szCs w:val="20"/>
          <w:color w:val="auto"/>
        </w:rPr>
      </w:pPr>
    </w:p>
    <w:p>
      <w:pPr>
        <w:ind w:left="320" w:right="100" w:hanging="312"/>
        <w:spacing w:after="0" w:line="237" w:lineRule="auto"/>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certain “routine” matters, brokerage firms have discretionary authority under applicable stock exchange rules to vote their customers’ shares if their customers do not provide voting instructions. When a brokerage firm votes its customers’ shares on a “routine” matter without receiving voting instructions (referred to as a “broker vote”), these shares are counted both for establishing a quorum to conduct business at the 2021 Annual Meeting and in determining the number of shares voted “FOR” or “AGAINST” the “routine” matter. For purposes of the 2021 Annual Meeting, Proposal 4 (the ratification of the appointment of PwC as our independent registered public accountants for 2021) is considered a “routine” matter.</w:t>
      </w:r>
    </w:p>
    <w:p>
      <w:pPr>
        <w:spacing w:after="0" w:line="191" w:lineRule="exact"/>
        <w:rPr>
          <w:rFonts w:ascii="Arial" w:cs="Arial" w:eastAsia="Arial" w:hAnsi="Arial"/>
          <w:sz w:val="18"/>
          <w:szCs w:val="18"/>
          <w:color w:val="auto"/>
        </w:rPr>
      </w:pPr>
    </w:p>
    <w:p>
      <w:pPr>
        <w:ind w:left="300" w:right="100"/>
        <w:spacing w:after="0" w:line="236" w:lineRule="auto"/>
        <w:rPr>
          <w:rFonts w:ascii="Arial" w:cs="Arial" w:eastAsia="Arial" w:hAnsi="Arial"/>
          <w:sz w:val="18"/>
          <w:szCs w:val="18"/>
          <w:color w:val="auto"/>
        </w:rPr>
      </w:pPr>
      <w:r>
        <w:rPr>
          <w:rFonts w:ascii="Arial" w:cs="Arial" w:eastAsia="Arial" w:hAnsi="Arial"/>
          <w:sz w:val="18"/>
          <w:szCs w:val="18"/>
          <w:color w:val="auto"/>
        </w:rPr>
        <w:t>Under applicable stock exchange rules, Proposal 1 (the election of directors), Proposal 2 (the approval of the Increased Capitalization Proposal) and Proposal 3 (the approval of the advisory (nonbinding) vote on the compensation paid to our Named Executive Officers (“say-on-pay” proposal)) are considered “nonroutine” matters for which brokerage firms do not have discretionary authority to vote their customers’ shares if their customers did not provide voting instructions (referred to as a “broker nonvote”). Therefore, for purposes of the 2021 Annual Meeting, if you hold your stock through a brokerage account, your brokerage firm may not vote your shares on your behalf on any of Proposal 1, Proposal 2 or Proposal 3 without receiving instructions from you. When a brokerage firm does not have the authority to vote its customers’ shares or does not exercise its authority, these situations are referred to as broker nonvotes. Broker nonvotes are only counted for establishing a quorum but will not be counted as votes cast either in favor of or against a particular proposal. If a quorum is present, broker nonvotes will have the same effect as a vote against Proposal 2 but will have no effect on the outcome of Proposal 1 or Proposal 3.</w:t>
      </w:r>
    </w:p>
    <w:p>
      <w:pPr>
        <w:spacing w:after="0" w:line="192" w:lineRule="exact"/>
        <w:rPr>
          <w:rFonts w:ascii="Arial" w:cs="Arial" w:eastAsia="Arial" w:hAnsi="Arial"/>
          <w:sz w:val="18"/>
          <w:szCs w:val="18"/>
          <w:color w:val="auto"/>
        </w:rPr>
      </w:pPr>
    </w:p>
    <w:p>
      <w:pPr>
        <w:ind w:left="300" w:right="200"/>
        <w:spacing w:after="0" w:line="246" w:lineRule="auto"/>
        <w:rPr>
          <w:rFonts w:ascii="Arial" w:cs="Arial" w:eastAsia="Arial" w:hAnsi="Arial"/>
          <w:sz w:val="18"/>
          <w:szCs w:val="18"/>
          <w:color w:val="auto"/>
        </w:rPr>
      </w:pPr>
      <w:r>
        <w:rPr>
          <w:rFonts w:ascii="Arial" w:cs="Arial" w:eastAsia="Arial" w:hAnsi="Arial"/>
          <w:sz w:val="18"/>
          <w:szCs w:val="18"/>
          <w:color w:val="auto"/>
        </w:rPr>
        <w:t>We encourage you to provide instructions to your brokerage firm, bank or other nominee by voting your proxy. This action ensures your shares will be voted at the 2021 Annual Meeting on all matters being considered.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What if I “ABSTAIN” from voting? How are abstentions treated?</w:t>
      </w:r>
    </w:p>
    <w:p>
      <w:pPr>
        <w:spacing w:after="0" w:line="224" w:lineRule="exact"/>
        <w:rPr>
          <w:sz w:val="20"/>
          <w:szCs w:val="20"/>
          <w:color w:val="auto"/>
        </w:rPr>
      </w:pPr>
    </w:p>
    <w:p>
      <w:pPr>
        <w:ind w:left="320" w:right="100" w:hanging="312"/>
        <w:spacing w:after="0" w:line="237" w:lineRule="auto"/>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You have the option to “ABSTAIN” from voting with respect to Proposal 2 (the approval of the Increased Capitalization Proposal), Proposal 3 (the approval of the advisory (nonbinding) vote on the compensation paid to our Named Executive Officers (“say-on-pay” proposal)) and Proposal 4 (the ratification of the appointment of PwC as our independent registered public accountants for 2021). Abstentions are treated as shares that that are present and entitled to vote for purposes of establishing a quorum but will not be counted as votes cast either in favor of or against a particular proposal. If a quorum is present, abstentions will have the same effect as a vote against Proposal 2 but will have no effect on the outcome of Proposal 1 or Proposal 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3" w:name="page64"/>
    <w:bookmarkEnd w:id="63"/>
    <w:p>
      <w:pPr>
        <w:ind w:left="320" w:right="20" w:hanging="312"/>
        <w:spacing w:after="0" w:line="245" w:lineRule="auto"/>
        <w:tabs>
          <w:tab w:leader="none" w:pos="309" w:val="left"/>
        </w:tabs>
        <w:numPr>
          <w:ilvl w:val="0"/>
          <w:numId w:val="121"/>
        </w:numPr>
        <w:rPr>
          <w:rFonts w:ascii="Arial" w:cs="Arial" w:eastAsia="Arial" w:hAnsi="Arial"/>
          <w:sz w:val="22"/>
          <w:szCs w:val="22"/>
          <w:b w:val="1"/>
          <w:bCs w:val="1"/>
          <w:i w:val="1"/>
          <w:iCs w:val="1"/>
          <w:color w:val="1278A9"/>
        </w:rPr>
      </w:pPr>
      <w:r>
        <w:rPr>
          <w:rFonts w:ascii="Arial" w:cs="Arial" w:eastAsia="Arial" w:hAnsi="Arial"/>
          <w:sz w:val="22"/>
          <w:szCs w:val="22"/>
          <w:b w:val="1"/>
          <w:bCs w:val="1"/>
          <w:i w:val="1"/>
          <w:iCs w:val="1"/>
          <w:color w:val="1278A9"/>
        </w:rPr>
        <w:t>How will my shares be voted if I return my proxy card or vote via telephone or Internet? What if I return my proxy card but do not provide voting instructions or if I complete the telephone or Internet voting procedures but do not specify how I want to vote my shares?</w:t>
      </w:r>
    </w:p>
    <w:p>
      <w:pPr>
        <w:spacing w:after="0" w:line="188" w:lineRule="exact"/>
        <w:rPr>
          <w:sz w:val="20"/>
          <w:szCs w:val="20"/>
          <w:color w:val="auto"/>
        </w:rPr>
      </w:pPr>
    </w:p>
    <w:p>
      <w:pPr>
        <w:ind w:left="320" w:right="260" w:hanging="312"/>
        <w:spacing w:after="0" w:line="274" w:lineRule="auto"/>
        <w:tabs>
          <w:tab w:leader="none" w:pos="3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Our Board has named H. Lynn Harton, Chairman, President and Chief Executive Officer, and Thomas A. Richlovsky, Lead Director, as official proxy holders. They will vote all proxies, or record an abstention or withholding, in accordance with the directions on the proxy.</w:t>
      </w:r>
    </w:p>
    <w:p>
      <w:pPr>
        <w:spacing w:after="0" w:line="161"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8"/>
          <w:szCs w:val="18"/>
          <w:color w:val="auto"/>
        </w:rPr>
        <w:t>All shares represented by properly executed proxies, unless previously revoked, will be voted at the 2021 Annual Meeting as you direct.</w:t>
      </w:r>
    </w:p>
    <w:p>
      <w:pPr>
        <w:spacing w:after="0" w:line="198" w:lineRule="exact"/>
        <w:rPr>
          <w:rFonts w:ascii="Arial" w:cs="Arial" w:eastAsia="Arial" w:hAnsi="Arial"/>
          <w:sz w:val="17"/>
          <w:szCs w:val="17"/>
          <w:color w:val="auto"/>
        </w:rPr>
      </w:pPr>
    </w:p>
    <w:p>
      <w:pPr>
        <w:ind w:left="300" w:right="340"/>
        <w:spacing w:after="0" w:line="246" w:lineRule="auto"/>
        <w:rPr>
          <w:rFonts w:ascii="Arial" w:cs="Arial" w:eastAsia="Arial" w:hAnsi="Arial"/>
          <w:sz w:val="17"/>
          <w:szCs w:val="17"/>
          <w:color w:val="auto"/>
        </w:rPr>
      </w:pPr>
      <w:r>
        <w:rPr>
          <w:rFonts w:ascii="Arial" w:cs="Arial" w:eastAsia="Arial" w:hAnsi="Arial"/>
          <w:sz w:val="18"/>
          <w:szCs w:val="18"/>
          <w:color w:val="auto"/>
        </w:rPr>
        <w:t>If you sign and return your proxy card but give no direction or complete the telephone or Internet voting procedures but do not specify how you want to vote your shares, the shares will be voted in the following manner:</w:t>
      </w:r>
    </w:p>
    <w:p>
      <w:pPr>
        <w:spacing w:after="0" w:line="183" w:lineRule="exact"/>
        <w:rPr>
          <w:rFonts w:ascii="Arial" w:cs="Arial" w:eastAsia="Arial" w:hAnsi="Arial"/>
          <w:sz w:val="17"/>
          <w:szCs w:val="17"/>
          <w:color w:val="auto"/>
        </w:rPr>
      </w:pPr>
    </w:p>
    <w:p>
      <w:pPr>
        <w:ind w:left="960" w:hanging="331"/>
        <w:spacing w:after="0"/>
        <w:tabs>
          <w:tab w:leader="none" w:pos="9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“FOR ALL” director nominees (Proposal 1);</w:t>
      </w:r>
    </w:p>
    <w:p>
      <w:pPr>
        <w:spacing w:after="0" w:line="198" w:lineRule="exact"/>
        <w:rPr>
          <w:rFonts w:ascii="Arial" w:cs="Arial" w:eastAsia="Arial" w:hAnsi="Arial"/>
          <w:sz w:val="18"/>
          <w:szCs w:val="18"/>
          <w:color w:val="auto"/>
        </w:rPr>
      </w:pPr>
    </w:p>
    <w:p>
      <w:pPr>
        <w:ind w:left="960" w:hanging="331"/>
        <w:spacing w:after="0"/>
        <w:tabs>
          <w:tab w:leader="none" w:pos="9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“FOR” the Increased Capitalization Proposal (Proposal 2);</w:t>
      </w:r>
    </w:p>
    <w:p>
      <w:pPr>
        <w:spacing w:after="0" w:line="198" w:lineRule="exact"/>
        <w:rPr>
          <w:rFonts w:ascii="Arial" w:cs="Arial" w:eastAsia="Arial" w:hAnsi="Arial"/>
          <w:sz w:val="18"/>
          <w:szCs w:val="18"/>
          <w:color w:val="auto"/>
        </w:rPr>
      </w:pPr>
    </w:p>
    <w:p>
      <w:pPr>
        <w:ind w:left="960" w:right="660" w:hanging="331"/>
        <w:spacing w:after="0" w:line="246" w:lineRule="auto"/>
        <w:tabs>
          <w:tab w:leader="none" w:pos="9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“FOR” the advisory (nonbinding) vote on the compensation paid to our Named Executive Officers (“say-on-pay” proposal) (Proposal 3); and</w:t>
      </w:r>
    </w:p>
    <w:p>
      <w:pPr>
        <w:spacing w:after="0" w:line="183" w:lineRule="exact"/>
        <w:rPr>
          <w:rFonts w:ascii="Arial" w:cs="Arial" w:eastAsia="Arial" w:hAnsi="Arial"/>
          <w:sz w:val="18"/>
          <w:szCs w:val="18"/>
          <w:color w:val="auto"/>
        </w:rPr>
      </w:pPr>
    </w:p>
    <w:p>
      <w:pPr>
        <w:ind w:left="960" w:hanging="331"/>
        <w:spacing w:after="0"/>
        <w:tabs>
          <w:tab w:leader="none" w:pos="9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“FOR” the ratification of the appointment of PwC as our independent registered public accountants for 2021 (Proposal 4).</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Who will count the votes?</w:t>
      </w:r>
    </w:p>
    <w:p>
      <w:pPr>
        <w:spacing w:after="0" w:line="224" w:lineRule="exact"/>
        <w:rPr>
          <w:sz w:val="20"/>
          <w:szCs w:val="20"/>
          <w:color w:val="auto"/>
        </w:rPr>
      </w:pPr>
    </w:p>
    <w:p>
      <w:pPr>
        <w:ind w:left="320" w:right="20" w:hanging="312"/>
        <w:spacing w:after="0" w:line="246" w:lineRule="auto"/>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representative of Broadridge will be appointed as an inspector of elections for the 2021 Annual Meeting. That person will tabulate votes cast by proxy or during the 2021 Annual Meeting as well as determine whether a quorum is present.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Where can I find voting results of the 2021 Annual Meeting?</w:t>
      </w:r>
    </w:p>
    <w:p>
      <w:pPr>
        <w:spacing w:after="0" w:line="224" w:lineRule="exact"/>
        <w:rPr>
          <w:sz w:val="20"/>
          <w:szCs w:val="20"/>
          <w:color w:val="auto"/>
        </w:rPr>
      </w:pPr>
    </w:p>
    <w:p>
      <w:pPr>
        <w:ind w:left="320" w:right="60" w:hanging="312"/>
        <w:spacing w:after="0" w:line="237" w:lineRule="auto"/>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will announce preliminary voting results at the 2021 Annual Meeting and publish final results on a Current Report on Form 8-K that we expect to file with the SEC within four business days following the 2021 Annual Meeting (a copy of which will be available on our website, www.ucbi.com, under Investor Relations &gt; Financials &amp; Filings &gt; SEC Filings). If our final voting results are not available within four business days following the 2021 Annual Meeting, we will file a Current Report on Form 8-K reporting the preliminary voting results and subsequently file the final voting results in an amendment to the Current Report on Form 8-K within four business days after the final voting results are known to us.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Does the Board know of any other matters that might arise at the 2021 Annual Meeting?</w:t>
      </w:r>
    </w:p>
    <w:p>
      <w:pPr>
        <w:spacing w:after="0" w:line="224" w:lineRule="exact"/>
        <w:rPr>
          <w:sz w:val="20"/>
          <w:szCs w:val="20"/>
          <w:color w:val="auto"/>
        </w:rPr>
      </w:pPr>
    </w:p>
    <w:p>
      <w:pPr>
        <w:ind w:left="320" w:right="60" w:hanging="312"/>
        <w:spacing w:after="0" w:line="238" w:lineRule="auto"/>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Board knows of no matters to be presented at the 2021 Annual Meeting other than those set forth in these Proxy Materials. However, if any other matters do come before the 2021 Annual Meeting, it is intended that the holders of the proxies will vote thereon in their discretion. Any such other matter will require for its approval the affirmative vote of a majority of votes cast by shares represented in person or by proxy and entitled to vote at such 2021 Annual Meeting, provided a quorum is present, or such greater vote as may be required under the Company’s Amended and Restated Articles of Incorporation, Bylaws or applicable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4" w:name="page65"/>
    <w:bookmarkEnd w:id="64"/>
    <w:p>
      <w:pPr>
        <w:ind w:left="320" w:right="320" w:hanging="312"/>
        <w:spacing w:after="0" w:line="261" w:lineRule="auto"/>
        <w:tabs>
          <w:tab w:leader="none" w:pos="309" w:val="left"/>
        </w:tabs>
        <w:numPr>
          <w:ilvl w:val="0"/>
          <w:numId w:val="126"/>
        </w:numPr>
        <w:rPr>
          <w:rFonts w:ascii="Arial" w:cs="Arial" w:eastAsia="Arial" w:hAnsi="Arial"/>
          <w:sz w:val="22"/>
          <w:szCs w:val="22"/>
          <w:b w:val="1"/>
          <w:bCs w:val="1"/>
          <w:i w:val="1"/>
          <w:iCs w:val="1"/>
          <w:color w:val="1278A9"/>
        </w:rPr>
      </w:pPr>
      <w:r>
        <w:rPr>
          <w:rFonts w:ascii="Arial" w:cs="Arial" w:eastAsia="Arial" w:hAnsi="Arial"/>
          <w:sz w:val="22"/>
          <w:szCs w:val="22"/>
          <w:b w:val="1"/>
          <w:bCs w:val="1"/>
          <w:i w:val="1"/>
          <w:iCs w:val="1"/>
          <w:color w:val="1278A9"/>
        </w:rPr>
        <w:t>May I propose actions for consideration at the 2021 Annual Meeting or nominate individuals to serve as directors?</w:t>
      </w:r>
    </w:p>
    <w:p>
      <w:pPr>
        <w:spacing w:after="0" w:line="170" w:lineRule="exact"/>
        <w:rPr>
          <w:sz w:val="20"/>
          <w:szCs w:val="20"/>
          <w:color w:val="auto"/>
        </w:rPr>
      </w:pPr>
    </w:p>
    <w:p>
      <w:pPr>
        <w:jc w:val="both"/>
        <w:ind w:left="320" w:right="120" w:hanging="312"/>
        <w:spacing w:after="0" w:line="238" w:lineRule="auto"/>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Yes. To propose actions for consideration at the 2021 Annual Meeting or nominate individuals to serve as directors you must have given timely notice of the business in writing to the Corporate Secretary of the Company. To be timely, your notice must be delivered or mailed to and received at the executive offices of the Company on or before the later to occur of 14 days prior to the 2021 Annual Meeting or 5 days after this notice is provided to you. Your notice to the Corporate Secretary must set forth:</w:t>
      </w:r>
    </w:p>
    <w:p>
      <w:pPr>
        <w:spacing w:after="0" w:line="191" w:lineRule="exact"/>
        <w:rPr>
          <w:rFonts w:ascii="Arial" w:cs="Arial" w:eastAsia="Arial" w:hAnsi="Arial"/>
          <w:sz w:val="18"/>
          <w:szCs w:val="18"/>
          <w:color w:val="auto"/>
        </w:rPr>
      </w:pPr>
    </w:p>
    <w:p>
      <w:pPr>
        <w:ind w:left="960" w:right="440" w:hanging="331"/>
        <w:spacing w:after="0" w:line="246" w:lineRule="auto"/>
        <w:tabs>
          <w:tab w:leader="none" w:pos="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brief description of each matter of business that you propose to bring before the 2021 Annual Meeting and the reasons for conducting that business at the meeting;</w:t>
      </w:r>
    </w:p>
    <w:p>
      <w:pPr>
        <w:spacing w:after="0" w:line="183" w:lineRule="exact"/>
        <w:rPr>
          <w:rFonts w:ascii="Arial" w:cs="Arial" w:eastAsia="Arial" w:hAnsi="Arial"/>
          <w:sz w:val="18"/>
          <w:szCs w:val="18"/>
          <w:color w:val="auto"/>
        </w:rPr>
      </w:pPr>
    </w:p>
    <w:p>
      <w:pPr>
        <w:ind w:left="960" w:hanging="331"/>
        <w:spacing w:after="0"/>
        <w:tabs>
          <w:tab w:leader="none" w:pos="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name, as it appears on the Company’s books, and your address;</w:t>
      </w:r>
    </w:p>
    <w:p>
      <w:pPr>
        <w:spacing w:after="0" w:line="198" w:lineRule="exact"/>
        <w:rPr>
          <w:rFonts w:ascii="Arial" w:cs="Arial" w:eastAsia="Arial" w:hAnsi="Arial"/>
          <w:sz w:val="18"/>
          <w:szCs w:val="18"/>
          <w:color w:val="auto"/>
        </w:rPr>
      </w:pPr>
    </w:p>
    <w:p>
      <w:pPr>
        <w:ind w:left="960" w:hanging="331"/>
        <w:spacing w:after="0"/>
        <w:tabs>
          <w:tab w:leader="none" w:pos="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series or class and number of shares of our stock that are beneficially owned by you; and</w:t>
      </w:r>
    </w:p>
    <w:p>
      <w:pPr>
        <w:spacing w:after="0" w:line="198" w:lineRule="exact"/>
        <w:rPr>
          <w:rFonts w:ascii="Arial" w:cs="Arial" w:eastAsia="Arial" w:hAnsi="Arial"/>
          <w:sz w:val="18"/>
          <w:szCs w:val="18"/>
          <w:color w:val="auto"/>
        </w:rPr>
      </w:pPr>
    </w:p>
    <w:p>
      <w:pPr>
        <w:ind w:left="960" w:hanging="331"/>
        <w:spacing w:after="0"/>
        <w:tabs>
          <w:tab w:leader="none" w:pos="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material interest that you have in the proposed business.</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chairman of the 2021 Annual Meeting shall have the discretion to declare that any business proposed by a shareholder to be considered at the 2021 Annual Meeting is out of order and that such business shall not be transacted at the meeting if:</w:t>
      </w:r>
    </w:p>
    <w:p>
      <w:pPr>
        <w:spacing w:after="0" w:line="183" w:lineRule="exact"/>
        <w:rPr>
          <w:sz w:val="20"/>
          <w:szCs w:val="20"/>
          <w:color w:val="auto"/>
        </w:rPr>
      </w:pPr>
    </w:p>
    <w:p>
      <w:pPr>
        <w:ind w:left="960" w:right="200" w:hanging="331"/>
        <w:spacing w:after="0" w:line="246"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chairman concludes that the matter has been proposed in a manner inconsistent with the applicable section of the Bylaws; or</w:t>
      </w:r>
    </w:p>
    <w:p>
      <w:pPr>
        <w:spacing w:after="0" w:line="183" w:lineRule="exact"/>
        <w:rPr>
          <w:rFonts w:ascii="Arial" w:cs="Arial" w:eastAsia="Arial" w:hAnsi="Arial"/>
          <w:sz w:val="18"/>
          <w:szCs w:val="18"/>
          <w:color w:val="auto"/>
        </w:rPr>
      </w:pPr>
    </w:p>
    <w:p>
      <w:pPr>
        <w:ind w:left="960" w:right="140" w:hanging="331"/>
        <w:spacing w:after="0" w:line="246"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chairman concludes that the subject matter of the proposed business is inappropriate for consideration by the shareholders at the 2021 Annual Meeting.</w:t>
      </w:r>
    </w:p>
    <w:p>
      <w:pPr>
        <w:spacing w:after="0" w:line="151" w:lineRule="exact"/>
        <w:rPr>
          <w:rFonts w:ascii="Arial" w:cs="Arial" w:eastAsia="Arial" w:hAnsi="Arial"/>
          <w:sz w:val="18"/>
          <w:szCs w:val="18"/>
          <w:color w:val="auto"/>
        </w:rPr>
      </w:pPr>
    </w:p>
    <w:p>
      <w:pPr>
        <w:ind w:left="300" w:hanging="292"/>
        <w:spacing w:after="0"/>
        <w:tabs>
          <w:tab w:leader="none" w:pos="300" w:val="left"/>
        </w:tabs>
        <w:numPr>
          <w:ilvl w:val="0"/>
          <w:numId w:val="128"/>
        </w:numPr>
        <w:rPr>
          <w:rFonts w:ascii="Arial" w:cs="Arial" w:eastAsia="Arial" w:hAnsi="Arial"/>
          <w:sz w:val="22"/>
          <w:szCs w:val="22"/>
          <w:b w:val="1"/>
          <w:bCs w:val="1"/>
          <w:i w:val="1"/>
          <w:iCs w:val="1"/>
          <w:color w:val="1278A9"/>
        </w:rPr>
      </w:pPr>
      <w:r>
        <w:rPr>
          <w:rFonts w:ascii="Arial" w:cs="Arial" w:eastAsia="Arial" w:hAnsi="Arial"/>
          <w:sz w:val="22"/>
          <w:szCs w:val="22"/>
          <w:b w:val="1"/>
          <w:bCs w:val="1"/>
          <w:i w:val="1"/>
          <w:iCs w:val="1"/>
          <w:color w:val="1278A9"/>
        </w:rPr>
        <w:t>May I ask questions to be addressed at the 2021 Annual Meeting?</w:t>
      </w:r>
    </w:p>
    <w:p>
      <w:pPr>
        <w:spacing w:after="0" w:line="224" w:lineRule="exact"/>
        <w:rPr>
          <w:sz w:val="20"/>
          <w:szCs w:val="20"/>
          <w:color w:val="auto"/>
        </w:rPr>
      </w:pPr>
    </w:p>
    <w:p>
      <w:pPr>
        <w:ind w:left="320" w:hanging="312"/>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Yes. You may submit a question to be addressed during the virtual 2021 Annual Meeting in either of the following two ways:</w:t>
      </w:r>
    </w:p>
    <w:p>
      <w:pPr>
        <w:spacing w:after="0" w:line="198" w:lineRule="exact"/>
        <w:rPr>
          <w:rFonts w:ascii="Arial" w:cs="Arial" w:eastAsia="Arial" w:hAnsi="Arial"/>
          <w:sz w:val="18"/>
          <w:szCs w:val="18"/>
          <w:color w:val="auto"/>
        </w:rPr>
      </w:pPr>
    </w:p>
    <w:p>
      <w:pPr>
        <w:ind w:left="800" w:right="320" w:hanging="333"/>
        <w:spacing w:after="0"/>
        <w:tabs>
          <w:tab w:leader="none" w:pos="8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you want to ask a question before the 2021 Annual Meeting, beginning at 9 A.M., Eastern Time, on March 30, 2021 and until 11:59 P.M., Eastern Time, on May 11, 2021, you may log into www.proxyvote.com and enter your 16-digit control number. Once you gain entry into the website, enter your question in the “Question for Management” field; or</w:t>
      </w:r>
    </w:p>
    <w:p>
      <w:pPr>
        <w:spacing w:after="0" w:line="189" w:lineRule="exact"/>
        <w:rPr>
          <w:rFonts w:ascii="Arial" w:cs="Arial" w:eastAsia="Arial" w:hAnsi="Arial"/>
          <w:sz w:val="18"/>
          <w:szCs w:val="18"/>
          <w:color w:val="auto"/>
        </w:rPr>
      </w:pPr>
    </w:p>
    <w:p>
      <w:pPr>
        <w:ind w:left="800" w:right="3760" w:hanging="333"/>
        <w:spacing w:after="0" w:line="246" w:lineRule="auto"/>
        <w:tabs>
          <w:tab w:leader="none" w:pos="8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Alternatively, you will be able to submit questions during the 2021 Annual Meeting at www.virtualshareholdermeeting.com/UCBI2021 in the “Ask a Question” field.</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Only questions pertinent to matters relative to the 2021 Annual Meeting will be answered, subject to time constraints.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Whom should I contact with questions about the 2021 Annual Meeting?</w:t>
      </w:r>
    </w:p>
    <w:p>
      <w:pPr>
        <w:spacing w:after="0" w:line="224" w:lineRule="exact"/>
        <w:rPr>
          <w:sz w:val="20"/>
          <w:szCs w:val="20"/>
          <w:color w:val="auto"/>
        </w:rPr>
      </w:pPr>
    </w:p>
    <w:p>
      <w:pPr>
        <w:ind w:left="320" w:right="180" w:hanging="312"/>
        <w:spacing w:after="0" w:line="238" w:lineRule="auto"/>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you have any questions about this Proxy Statement or the 2021 Annual Meeting, please contact Melinda Davis Lux, our General Counsel and Corporate Secretary, in writing at United Community Banks, Inc., 2 West Washington Street, Suite 700, Greenville, South Carolina, 29601 or by telephone at (800) 822-2651. If you need help at the 2021 Annual Meeting because of a disability, please contact us at least one week in advance of the 2021 Annual Meeting at (866) 270-5900.</w:t>
      </w:r>
    </w:p>
    <w:p>
      <w:pPr>
        <w:spacing w:after="0" w:line="160" w:lineRule="exact"/>
        <w:rPr>
          <w:sz w:val="20"/>
          <w:szCs w:val="20"/>
          <w:color w:val="auto"/>
        </w:rPr>
      </w:pPr>
    </w:p>
    <w:p>
      <w:pPr>
        <w:ind w:left="320" w:right="1000" w:hanging="312"/>
        <w:spacing w:after="0" w:line="261" w:lineRule="auto"/>
        <w:tabs>
          <w:tab w:leader="none" w:pos="309" w:val="left"/>
        </w:tabs>
        <w:numPr>
          <w:ilvl w:val="0"/>
          <w:numId w:val="131"/>
        </w:numPr>
        <w:rPr>
          <w:rFonts w:ascii="Arial" w:cs="Arial" w:eastAsia="Arial" w:hAnsi="Arial"/>
          <w:sz w:val="22"/>
          <w:szCs w:val="22"/>
          <w:b w:val="1"/>
          <w:bCs w:val="1"/>
          <w:i w:val="1"/>
          <w:iCs w:val="1"/>
          <w:color w:val="1278A9"/>
        </w:rPr>
      </w:pPr>
      <w:r>
        <w:rPr>
          <w:rFonts w:ascii="Arial" w:cs="Arial" w:eastAsia="Arial" w:hAnsi="Arial"/>
          <w:sz w:val="22"/>
          <w:szCs w:val="22"/>
          <w:b w:val="1"/>
          <w:bCs w:val="1"/>
          <w:i w:val="1"/>
          <w:iCs w:val="1"/>
          <w:color w:val="1278A9"/>
        </w:rPr>
        <w:t>May I propose actions for consideration at the 2022 Annual Meeting of Shareholders or nominate individuals to serve as directors?</w:t>
      </w:r>
    </w:p>
    <w:p>
      <w:pPr>
        <w:spacing w:after="0" w:line="165"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You may submit proposals for consideration at future shareholder meetings including director nominations. See Proposal 1: Election of</w:t>
      </w:r>
    </w:p>
    <w:p>
      <w:pPr>
        <w:ind w:left="320" w:right="840"/>
        <w:spacing w:after="0" w:line="246" w:lineRule="auto"/>
        <w:rPr>
          <w:rFonts w:ascii="Arial" w:cs="Arial" w:eastAsia="Arial" w:hAnsi="Arial"/>
          <w:sz w:val="18"/>
          <w:szCs w:val="18"/>
          <w:color w:val="auto"/>
        </w:rPr>
      </w:pPr>
      <w:r>
        <w:rPr>
          <w:rFonts w:ascii="Arial" w:cs="Arial" w:eastAsia="Arial" w:hAnsi="Arial"/>
          <w:sz w:val="18"/>
          <w:szCs w:val="18"/>
          <w:color w:val="auto"/>
        </w:rPr>
        <w:t>Directors: Process for Shareholder to Recommend Individuals for Consideration by the Nominating and Corporate Governance Committee and Shareholder Proposals for 2022 Annual Meeting of Shareholders.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1278A9"/>
        </w:rPr>
        <w:t>Q: What information is available on the Internet?</w:t>
      </w:r>
    </w:p>
    <w:p>
      <w:pPr>
        <w:spacing w:after="0" w:line="224" w:lineRule="exact"/>
        <w:rPr>
          <w:sz w:val="20"/>
          <w:szCs w:val="20"/>
          <w:color w:val="auto"/>
        </w:rPr>
      </w:pPr>
    </w:p>
    <w:p>
      <w:pPr>
        <w:ind w:left="320" w:right="300" w:hanging="312"/>
        <w:spacing w:after="0" w:line="246" w:lineRule="auto"/>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copy of our Proxy Materials are available for download free of charge at www.proxyvote.com (you will need the control number from your Notice or proxy card to access the Proxy Materials).</w:t>
      </w:r>
    </w:p>
    <w:p>
      <w:pPr>
        <w:spacing w:after="0" w:line="183" w:lineRule="exact"/>
        <w:rPr>
          <w:rFonts w:ascii="Arial" w:cs="Arial" w:eastAsia="Arial" w:hAnsi="Arial"/>
          <w:sz w:val="18"/>
          <w:szCs w:val="18"/>
          <w:color w:val="auto"/>
        </w:rPr>
      </w:pPr>
    </w:p>
    <w:p>
      <w:pPr>
        <w:ind w:left="300" w:right="100"/>
        <w:spacing w:after="0" w:line="238" w:lineRule="auto"/>
        <w:rPr>
          <w:rFonts w:ascii="Arial" w:cs="Arial" w:eastAsia="Arial" w:hAnsi="Arial"/>
          <w:sz w:val="18"/>
          <w:szCs w:val="18"/>
          <w:color w:val="auto"/>
        </w:rPr>
      </w:pPr>
      <w:r>
        <w:rPr>
          <w:rFonts w:ascii="Arial" w:cs="Arial" w:eastAsia="Arial" w:hAnsi="Arial"/>
          <w:sz w:val="18"/>
          <w:szCs w:val="18"/>
          <w:color w:val="auto"/>
        </w:rPr>
        <w:t>Additionally, we use our website, www.ucbi.com, as a channel of distribution for important Company information. We make available free of charge on our website various documents including our SEC filings (Investor Relations &gt; Financials &amp; Filings &gt; SEC Filings), proxy statements (Investor Relations &gt; Financials &amp; Filings) and annual reports (Investor Relations &gt; Financials &amp; Filings), as well as other information.</w:t>
      </w:r>
    </w:p>
    <w:p>
      <w:pPr>
        <w:spacing w:after="0" w:line="191"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Information from our website is not incorporated by reference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5" w:name="page66"/>
    <w:bookmarkEnd w:id="65"/>
    <w:p>
      <w:pPr>
        <w:spacing w:after="0"/>
        <w:rPr>
          <w:sz w:val="20"/>
          <w:szCs w:val="20"/>
          <w:color w:val="auto"/>
        </w:rPr>
      </w:pPr>
      <w:r>
        <w:rPr>
          <w:rFonts w:ascii="Arial" w:cs="Arial" w:eastAsia="Arial" w:hAnsi="Arial"/>
          <w:sz w:val="36"/>
          <w:szCs w:val="36"/>
          <w:b w:val="1"/>
          <w:bCs w:val="1"/>
          <w:color w:val="153964"/>
        </w:rPr>
        <w:t>Shareholder Proposals for 2022 Annual Meeting of Shareholders</w:t>
      </w:r>
    </w:p>
    <w:p>
      <w:pPr>
        <w:spacing w:after="0" w:line="25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All shareholder proposals and written notices discussed below must be mailed to Corporate Secretary, United Community Banks, Inc., 2 West Washington Street, Suite 700, Greenville, South Carolina, 29601. Shareholder proposals and director nominations that are not included in our Proxy Materials will not be considered at any annual meeting of shareholders unless such proposals have complied with the requirements of our Bylaws.</w:t>
      </w:r>
    </w:p>
    <w:p>
      <w:pPr>
        <w:spacing w:after="0" w:line="157" w:lineRule="exact"/>
        <w:rPr>
          <w:sz w:val="20"/>
          <w:szCs w:val="20"/>
          <w:color w:val="auto"/>
        </w:rPr>
      </w:pPr>
    </w:p>
    <w:p>
      <w:pPr>
        <w:spacing w:after="0"/>
        <w:rPr>
          <w:sz w:val="20"/>
          <w:szCs w:val="20"/>
          <w:color w:val="auto"/>
        </w:rPr>
      </w:pPr>
      <w:r>
        <w:rPr>
          <w:rFonts w:ascii="Arial" w:cs="Arial" w:eastAsia="Arial" w:hAnsi="Arial"/>
          <w:sz w:val="27"/>
          <w:szCs w:val="27"/>
          <w:b w:val="1"/>
          <w:bCs w:val="1"/>
          <w:color w:val="1278A9"/>
        </w:rPr>
        <w:t>Shareholder Proposals</w:t>
      </w:r>
    </w:p>
    <w:p>
      <w:pPr>
        <w:spacing w:after="0" w:line="23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Proposals of eligible shareholders that comply with Exchange Act Rule 14a-8 must be received in writing by the Corporate Secretary no later than November 30, 2021, in order to be considered for inclusion in the Company’s Proxy Statement and proxy card relating to the 2022 Annual Meeting of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1278A9"/>
        </w:rPr>
        <w:t>Other Business at 2022 Annual Meeting of Shareholders</w:t>
      </w:r>
    </w:p>
    <w:p>
      <w:pPr>
        <w:spacing w:after="0" w:line="23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 anticipates that its next annual meeting of shareholders will be held in May 2022. If a shareholder desires to submit a proposal for consideration at the 2022 Annual Meeting of Shareholders, written notice of such shareholder’s intent to make such a proposal must be given and received by the Company’s Corporate Secretary at its principal executive offices either by personal delivery or by United States mail. To be timely, the notice must be delivered or mailed to and received at the principal executive offices of the Company on or before the later to occur of (i) 14 days prior to the 2022 Annual Meeting of Shareholders or (ii) 5 days after the notice of the 2022 Annual Meeting of Shareholders is provided to the shareholder. Your notice to the Corporate Secretary must set forth:</w:t>
      </w:r>
    </w:p>
    <w:p>
      <w:pPr>
        <w:spacing w:after="0" w:line="191" w:lineRule="exact"/>
        <w:rPr>
          <w:sz w:val="20"/>
          <w:szCs w:val="20"/>
          <w:color w:val="auto"/>
        </w:rPr>
      </w:pPr>
    </w:p>
    <w:p>
      <w:pPr>
        <w:ind w:left="560" w:right="460" w:hanging="309"/>
        <w:spacing w:after="0" w:line="246" w:lineRule="auto"/>
        <w:tabs>
          <w:tab w:leader="none" w:pos="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brief description of each matter of business that you propose to bring before the 2022 Annual Meeting of Shareholders and the reasons for conducting that business at the meeting;</w:t>
      </w:r>
    </w:p>
    <w:p>
      <w:pPr>
        <w:spacing w:after="0" w:line="183" w:lineRule="exact"/>
        <w:rPr>
          <w:rFonts w:ascii="Arial" w:cs="Arial" w:eastAsia="Arial" w:hAnsi="Arial"/>
          <w:sz w:val="18"/>
          <w:szCs w:val="18"/>
          <w:color w:val="auto"/>
        </w:rPr>
      </w:pPr>
    </w:p>
    <w:p>
      <w:pPr>
        <w:ind w:left="560" w:hanging="309"/>
        <w:spacing w:after="0"/>
        <w:tabs>
          <w:tab w:leader="none" w:pos="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name, as it appears on the Company’s books, and your address;</w:t>
      </w:r>
    </w:p>
    <w:p>
      <w:pPr>
        <w:spacing w:after="0" w:line="198" w:lineRule="exact"/>
        <w:rPr>
          <w:rFonts w:ascii="Arial" w:cs="Arial" w:eastAsia="Arial" w:hAnsi="Arial"/>
          <w:sz w:val="18"/>
          <w:szCs w:val="18"/>
          <w:color w:val="auto"/>
        </w:rPr>
      </w:pPr>
    </w:p>
    <w:p>
      <w:pPr>
        <w:ind w:left="560" w:hanging="309"/>
        <w:spacing w:after="0"/>
        <w:tabs>
          <w:tab w:leader="none" w:pos="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series or class and number of shares of our stock that are beneficially owned by you; and</w:t>
      </w:r>
    </w:p>
    <w:p>
      <w:pPr>
        <w:spacing w:after="0" w:line="198" w:lineRule="exact"/>
        <w:rPr>
          <w:rFonts w:ascii="Arial" w:cs="Arial" w:eastAsia="Arial" w:hAnsi="Arial"/>
          <w:sz w:val="18"/>
          <w:szCs w:val="18"/>
          <w:color w:val="auto"/>
        </w:rPr>
      </w:pPr>
    </w:p>
    <w:p>
      <w:pPr>
        <w:ind w:left="560" w:hanging="309"/>
        <w:spacing w:after="0"/>
        <w:tabs>
          <w:tab w:leader="none" w:pos="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material interest that you have in the proposed business.</w:t>
      </w:r>
    </w:p>
    <w:p>
      <w:pPr>
        <w:spacing w:after="0" w:line="198"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The chairman of the 2022 Annual Meeting of Shareholders shall have the discretion to declare that any business proposed by a shareholder to be considered at the 2022 Annual Meeting of Shareholders is out of order and that such business shall not be transacted at the meeting if:</w:t>
      </w:r>
    </w:p>
    <w:p>
      <w:pPr>
        <w:spacing w:after="0" w:line="183" w:lineRule="exact"/>
        <w:rPr>
          <w:sz w:val="20"/>
          <w:szCs w:val="20"/>
          <w:color w:val="auto"/>
        </w:rPr>
      </w:pPr>
    </w:p>
    <w:p>
      <w:pPr>
        <w:ind w:left="560" w:hanging="309"/>
        <w:spacing w:after="0"/>
        <w:tabs>
          <w:tab w:leader="none" w:pos="5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chairman concludes that the matter has been proposed in a manner inconsistent with the applicable section of the Bylaws; or</w:t>
      </w:r>
    </w:p>
    <w:p>
      <w:pPr>
        <w:spacing w:after="0" w:line="198" w:lineRule="exact"/>
        <w:rPr>
          <w:rFonts w:ascii="Arial" w:cs="Arial" w:eastAsia="Arial" w:hAnsi="Arial"/>
          <w:sz w:val="18"/>
          <w:szCs w:val="18"/>
          <w:color w:val="auto"/>
        </w:rPr>
      </w:pPr>
    </w:p>
    <w:p>
      <w:pPr>
        <w:ind w:left="560" w:right="40" w:hanging="309"/>
        <w:spacing w:after="0" w:line="246" w:lineRule="auto"/>
        <w:tabs>
          <w:tab w:leader="none" w:pos="5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chairman concludes that the subject matter of the proposed business is inappropriate for consideration by the shareholders at the 2022 Annual Meeting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126365</wp:posOffset>
            </wp:positionV>
            <wp:extent cx="1825625" cy="2317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825625" cy="2317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Melinda Davis Lux</w:t>
      </w:r>
    </w:p>
    <w:p>
      <w:pPr>
        <w:spacing w:after="0"/>
        <w:rPr>
          <w:sz w:val="20"/>
          <w:szCs w:val="20"/>
          <w:color w:val="auto"/>
        </w:rPr>
      </w:pPr>
      <w:r>
        <w:rPr>
          <w:rFonts w:ascii="Arial" w:cs="Arial" w:eastAsia="Arial" w:hAnsi="Arial"/>
          <w:sz w:val="18"/>
          <w:szCs w:val="18"/>
          <w:color w:val="auto"/>
        </w:rPr>
        <w:t>General Counsel and Corporate Secretary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30, 2021</w:t>
      </w:r>
    </w:p>
    <w:p>
      <w:pPr>
        <w:spacing w:after="0" w:line="190" w:lineRule="exact"/>
        <w:rPr>
          <w:sz w:val="20"/>
          <w:szCs w:val="20"/>
          <w:color w:val="auto"/>
        </w:rPr>
      </w:pPr>
    </w:p>
    <w:p>
      <w:pPr>
        <w:ind w:right="200"/>
        <w:spacing w:after="0" w:line="254" w:lineRule="auto"/>
        <w:rPr>
          <w:sz w:val="20"/>
          <w:szCs w:val="20"/>
          <w:color w:val="auto"/>
        </w:rPr>
      </w:pPr>
      <w:r>
        <w:rPr>
          <w:rFonts w:ascii="Arial" w:cs="Arial" w:eastAsia="Arial" w:hAnsi="Arial"/>
          <w:sz w:val="14"/>
          <w:szCs w:val="14"/>
          <w:i w:val="1"/>
          <w:iCs w:val="1"/>
          <w:color w:val="auto"/>
        </w:rPr>
        <w:t>Each shareholder, whether or not he or she expects to participate in the 2021 Annual Meeting, is requested to please vote your proxy either by mail, telephone or over the Internet as promptly as possible. A shareholder may revoke his or her proxy at any time before the voting polls close by submitting a subsequent proxy with a later date by Internet, telephone or mail or by sending our Corporate Secretary a written revocation. Any previously submitted proxy also will be considered revoked if you participate in the virtual 2021 Annual Meeting and vote via the virtual portal.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895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7895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91039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lvl w:ilvl="1">
      <w:lvlJc w:val="left"/>
      <w:lvlText w:val="(%2)"/>
      <w:numFmt w:val="decimal"/>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1"/>
      <w:numFmt w:val="decimal"/>
      <w:start w:val="73"/>
    </w:lvl>
  </w:abstractNum>
  <w:abstractNum w:abstractNumId="7">
    <w:nsid w:val="6B94764"/>
    <w:multiLevelType w:val="hybridMultilevel"/>
    <w:lvl w:ilvl="0">
      <w:lvlJc w:val="left"/>
      <w:lvlText w:val="%1"/>
      <w:numFmt w:val="decimal"/>
      <w:start w:val="62"/>
    </w:lvl>
  </w:abstractNum>
  <w:abstractNum w:abstractNumId="8">
    <w:nsid w:val="42C296BD"/>
    <w:multiLevelType w:val="hybridMultilevel"/>
    <w:lvl w:ilvl="0">
      <w:lvlJc w:val="left"/>
      <w:lvlText w:val="%1"/>
      <w:numFmt w:val="decimal"/>
      <w:start w:val="69"/>
    </w:lvl>
  </w:abstractNum>
  <w:abstractNum w:abstractNumId="9">
    <w:nsid w:val="168E121F"/>
    <w:multiLevelType w:val="hybridMultilevel"/>
    <w:lvl w:ilvl="0">
      <w:lvlJc w:val="left"/>
      <w:lvlText w:val="%1"/>
      <w:numFmt w:val="decimal"/>
      <w:start w:val="66"/>
    </w:lvl>
  </w:abstractNum>
  <w:abstractNum w:abstractNumId="10">
    <w:nsid w:val="1EBA5D23"/>
    <w:multiLevelType w:val="hybridMultilevel"/>
    <w:lvl w:ilvl="0">
      <w:lvlJc w:val="left"/>
      <w:lvlText w:val="%1"/>
      <w:numFmt w:val="decimal"/>
      <w:start w:val="59"/>
    </w:lvl>
  </w:abstractNum>
  <w:abstractNum w:abstractNumId="11">
    <w:nsid w:val="661E3F1E"/>
    <w:multiLevelType w:val="hybridMultilevel"/>
    <w:lvl w:ilvl="0">
      <w:lvlJc w:val="left"/>
      <w:lvlText w:val="%1"/>
      <w:numFmt w:val="decimal"/>
      <w:start w:val="50"/>
    </w:lvl>
  </w:abstractNum>
  <w:abstractNum w:abstractNumId="12">
    <w:nsid w:val="5DC79EA8"/>
    <w:multiLevelType w:val="hybridMultilevel"/>
    <w:lvl w:ilvl="0">
      <w:lvlJc w:val="left"/>
      <w:lvlText w:val="%1"/>
      <w:numFmt w:val="decimal"/>
      <w:start w:val="71"/>
    </w:lvl>
  </w:abstractNum>
  <w:abstractNum w:abstractNumId="13">
    <w:nsid w:val="540A471C"/>
    <w:multiLevelType w:val="hybridMultilevel"/>
    <w:lvl w:ilvl="0">
      <w:lvlJc w:val="left"/>
      <w:lvlText w:val="%1"/>
      <w:numFmt w:val="decimal"/>
      <w:start w:val="74"/>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1"/>
      <w:numFmt w:val="bullet"/>
      <w:start w:val="1"/>
    </w:lvl>
  </w:abstractNum>
  <w:abstractNum w:abstractNumId="26">
    <w:nsid w:val="60B6DF70"/>
    <w:multiLevelType w:val="hybridMultilevel"/>
    <w:lvl w:ilvl="0">
      <w:lvlJc w:val="left"/>
      <w:lvlText w:val="2"/>
      <w:numFmt w:val="bullet"/>
      <w:start w:val="1"/>
    </w:lvl>
  </w:abstractNum>
  <w:abstractNum w:abstractNumId="27">
    <w:nsid w:val="6A5EE64"/>
    <w:multiLevelType w:val="hybridMultilevel"/>
    <w:lvl w:ilvl="0">
      <w:lvlJc w:val="left"/>
      <w:lvlText w:val="3"/>
      <w:numFmt w:val="bullet"/>
      <w:start w:val="1"/>
    </w:lvl>
  </w:abstractNum>
  <w:abstractNum w:abstractNumId="28">
    <w:nsid w:val="14330624"/>
    <w:multiLevelType w:val="hybridMultilevel"/>
    <w:lvl w:ilvl="0">
      <w:lvlJc w:val="left"/>
      <w:lvlText w:val="1"/>
      <w:numFmt w:val="bullet"/>
      <w:start w:val="1"/>
    </w:lvl>
  </w:abstractNum>
  <w:abstractNum w:abstractNumId="29">
    <w:nsid w:val="7FFFCA11"/>
    <w:multiLevelType w:val="hybridMultilevel"/>
    <w:lvl w:ilvl="0">
      <w:lvlJc w:val="left"/>
      <w:lvlText w:val="1"/>
      <w:numFmt w:val="bullet"/>
      <w:start w:val="1"/>
    </w:lvl>
  </w:abstractNum>
  <w:abstractNum w:abstractNumId="30">
    <w:nsid w:val="1A27709E"/>
    <w:multiLevelType w:val="hybridMultilevel"/>
    <w:lvl w:ilvl="0">
      <w:lvlJc w:val="left"/>
      <w:lvlText w:val="1"/>
      <w:numFmt w:val="bullet"/>
      <w:start w:val="1"/>
    </w:lvl>
  </w:abstractNum>
  <w:abstractNum w:abstractNumId="31">
    <w:nsid w:val="71EA1109"/>
    <w:multiLevelType w:val="hybridMultilevel"/>
    <w:lvl w:ilvl="0">
      <w:lvlJc w:val="left"/>
      <w:lvlText w:val="2"/>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1"/>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1"/>
      <w:numFmt w:val="bullet"/>
      <w:start w:val="1"/>
    </w:lvl>
  </w:abstractNum>
  <w:abstractNum w:abstractNumId="39">
    <w:nsid w:val="4C04A8AF"/>
    <w:multiLevelType w:val="hybridMultilevel"/>
    <w:lvl w:ilvl="0">
      <w:lvlJc w:val="left"/>
      <w:lvlText w:val="2"/>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1"/>
      <w:numFmt w:val="bullet"/>
      <w:start w:val="1"/>
    </w:lvl>
  </w:abstractNum>
  <w:abstractNum w:abstractNumId="42">
    <w:nsid w:val="3222E7CD"/>
    <w:multiLevelType w:val="hybridMultilevel"/>
    <w:lvl w:ilvl="0">
      <w:lvlJc w:val="left"/>
      <w:lvlText w:val="1"/>
      <w:numFmt w:val="bullet"/>
      <w:start w:val="1"/>
    </w:lvl>
  </w:abstractNum>
  <w:abstractNum w:abstractNumId="43">
    <w:nsid w:val="74DE0EE3"/>
    <w:multiLevelType w:val="hybridMultilevel"/>
    <w:lvl w:ilvl="0">
      <w:lvlJc w:val="left"/>
      <w:lvlText w:val="2"/>
      <w:numFmt w:val="bullet"/>
      <w:start w:val="1"/>
    </w:lvl>
  </w:abstractNum>
  <w:abstractNum w:abstractNumId="44">
    <w:nsid w:val="68EBC550"/>
    <w:multiLevelType w:val="hybridMultilevel"/>
    <w:lvl w:ilvl="0">
      <w:lvlJc w:val="left"/>
      <w:lvlText w:val="3"/>
      <w:numFmt w:val="bullet"/>
      <w:start w:val="1"/>
    </w:lvl>
  </w:abstractNum>
  <w:abstractNum w:abstractNumId="45">
    <w:nsid w:val="2DF6D648"/>
    <w:multiLevelType w:val="hybridMultilevel"/>
    <w:lvl w:ilvl="0">
      <w:lvlJc w:val="left"/>
      <w:lvlText w:val="4"/>
      <w:numFmt w:val="bullet"/>
      <w:start w:val="1"/>
    </w:lvl>
  </w:abstractNum>
  <w:abstractNum w:abstractNumId="46">
    <w:nsid w:val="46B7D447"/>
    <w:multiLevelType w:val="hybridMultilevel"/>
    <w:lvl w:ilvl="0">
      <w:lvlJc w:val="left"/>
      <w:lvlText w:val="5"/>
      <w:numFmt w:val="bullet"/>
      <w:start w:val="1"/>
    </w:lvl>
  </w:abstractNum>
  <w:abstractNum w:abstractNumId="47">
    <w:nsid w:val="4A2AC315"/>
    <w:multiLevelType w:val="hybridMultilevel"/>
    <w:lvl w:ilvl="0">
      <w:lvlJc w:val="left"/>
      <w:lvlText w:val="6"/>
      <w:numFmt w:val="bullet"/>
      <w:start w:val="1"/>
    </w:lvl>
  </w:abstractNum>
  <w:abstractNum w:abstractNumId="48">
    <w:nsid w:val="39EE015C"/>
    <w:multiLevelType w:val="hybridMultilevel"/>
    <w:lvl w:ilvl="0">
      <w:lvlJc w:val="left"/>
      <w:lvlText w:val="7"/>
      <w:numFmt w:val="bullet"/>
      <w:start w:val="1"/>
    </w:lvl>
  </w:abstractNum>
  <w:abstractNum w:abstractNumId="49">
    <w:nsid w:val="57FC4FBB"/>
    <w:multiLevelType w:val="hybridMultilevel"/>
    <w:lvl w:ilvl="0">
      <w:lvlJc w:val="left"/>
      <w:lvlText w:val="8"/>
      <w:numFmt w:val="bullet"/>
      <w:start w:val="1"/>
    </w:lvl>
  </w:abstractNum>
  <w:abstractNum w:abstractNumId="50">
    <w:nsid w:val="CC1016F"/>
    <w:multiLevelType w:val="hybridMultilevel"/>
    <w:lvl w:ilvl="0">
      <w:lvlJc w:val="left"/>
      <w:lvlText w:val="9"/>
      <w:numFmt w:val="bullet"/>
      <w:start w:val="1"/>
    </w:lvl>
  </w:abstractNum>
  <w:abstractNum w:abstractNumId="51">
    <w:nsid w:val="43F18422"/>
    <w:multiLevelType w:val="hybridMultilevel"/>
    <w:lvl w:ilvl="0">
      <w:lvlJc w:val="left"/>
      <w:lvlText w:val="%1"/>
      <w:numFmt w:val="decimal"/>
      <w:start w:val="10"/>
    </w:lvl>
  </w:abstractNum>
  <w:abstractNum w:abstractNumId="52">
    <w:nsid w:val="60EF0119"/>
    <w:multiLevelType w:val="hybridMultilevel"/>
    <w:lvl w:ilvl="0">
      <w:lvlJc w:val="left"/>
      <w:lvlText w:val="1"/>
      <w:numFmt w:val="bullet"/>
      <w:start w:val="1"/>
    </w:lvl>
  </w:abstractNum>
  <w:abstractNum w:abstractNumId="53">
    <w:nsid w:val="26F324BA"/>
    <w:multiLevelType w:val="hybridMultilevel"/>
    <w:lvl w:ilvl="0">
      <w:lvlJc w:val="left"/>
      <w:lvlText w:val="2"/>
      <w:numFmt w:val="bullet"/>
      <w:start w:val="1"/>
    </w:lvl>
  </w:abstractNum>
  <w:abstractNum w:abstractNumId="54">
    <w:nsid w:val="7F01579B"/>
    <w:multiLevelType w:val="hybridMultilevel"/>
    <w:lvl w:ilvl="0">
      <w:lvlJc w:val="left"/>
      <w:lvlText w:val="3"/>
      <w:numFmt w:val="bullet"/>
      <w:start w:val="1"/>
    </w:lvl>
  </w:abstractNum>
  <w:abstractNum w:abstractNumId="55">
    <w:nsid w:val="49DA307D"/>
    <w:multiLevelType w:val="hybridMultilevel"/>
    <w:lvl w:ilvl="0">
      <w:lvlJc w:val="left"/>
      <w:lvlText w:val="1"/>
      <w:numFmt w:val="bullet"/>
      <w:start w:val="1"/>
    </w:lvl>
  </w:abstractNum>
  <w:abstractNum w:abstractNumId="56">
    <w:nsid w:val="7055A5F5"/>
    <w:multiLevelType w:val="hybridMultilevel"/>
    <w:lvl w:ilvl="0">
      <w:lvlJc w:val="left"/>
      <w:lvlText w:val="2"/>
      <w:numFmt w:val="bullet"/>
      <w:start w:val="1"/>
    </w:lvl>
  </w:abstractNum>
  <w:abstractNum w:abstractNumId="57">
    <w:nsid w:val="5FB8370B"/>
    <w:multiLevelType w:val="hybridMultilevel"/>
    <w:lvl w:ilvl="0">
      <w:lvlJc w:val="left"/>
      <w:lvlText w:val="3"/>
      <w:numFmt w:val="bullet"/>
      <w:start w:val="1"/>
    </w:lvl>
  </w:abstractNum>
  <w:abstractNum w:abstractNumId="58">
    <w:nsid w:val="50801EE1"/>
    <w:multiLevelType w:val="hybridMultilevel"/>
    <w:lvl w:ilvl="0">
      <w:lvlJc w:val="left"/>
      <w:lvlText w:val="4"/>
      <w:numFmt w:val="bullet"/>
      <w:start w:val="1"/>
    </w:lvl>
  </w:abstractNum>
  <w:abstractNum w:abstractNumId="59">
    <w:nsid w:val="488AC1A"/>
    <w:multiLevelType w:val="hybridMultilevel"/>
    <w:lvl w:ilvl="0">
      <w:lvlJc w:val="left"/>
      <w:lvlText w:val="5"/>
      <w:numFmt w:val="bullet"/>
      <w:start w:val="1"/>
    </w:lvl>
  </w:abstractNum>
  <w:abstractNum w:abstractNumId="60">
    <w:nsid w:val="5FB8011C"/>
    <w:multiLevelType w:val="hybridMultilevel"/>
    <w:lvl w:ilvl="0">
      <w:lvlJc w:val="left"/>
      <w:lvlText w:val="6"/>
      <w:numFmt w:val="bullet"/>
      <w:start w:val="1"/>
    </w:lvl>
  </w:abstractNum>
  <w:abstractNum w:abstractNumId="61">
    <w:nsid w:val="6AA78F7F"/>
    <w:multiLevelType w:val="hybridMultilevel"/>
    <w:lvl w:ilvl="0">
      <w:lvlJc w:val="left"/>
      <w:lvlText w:val="7"/>
      <w:numFmt w:val="bullet"/>
      <w:start w:val="1"/>
    </w:lvl>
  </w:abstractNum>
  <w:abstractNum w:abstractNumId="62">
    <w:nsid w:val="7672BD23"/>
    <w:multiLevelType w:val="hybridMultilevel"/>
    <w:lvl w:ilvl="0">
      <w:lvlJc w:val="left"/>
      <w:lvlText w:val="1"/>
      <w:numFmt w:val="bullet"/>
      <w:start w:val="1"/>
    </w:lvl>
  </w:abstractNum>
  <w:abstractNum w:abstractNumId="63">
    <w:nsid w:val="6FC75AF8"/>
    <w:multiLevelType w:val="hybridMultilevel"/>
    <w:lvl w:ilvl="0">
      <w:lvlJc w:val="left"/>
      <w:lvlText w:val="1"/>
      <w:numFmt w:val="bullet"/>
      <w:start w:val="1"/>
    </w:lvl>
    <w:lvl w:ilvl="1">
      <w:lvlJc w:val="left"/>
      <w:lvlText w:val="%2."/>
      <w:numFmt w:val="lowerLetter"/>
      <w:start w:val="1"/>
    </w:lvl>
  </w:abstractNum>
  <w:abstractNum w:abstractNumId="64">
    <w:nsid w:val="6A5F7029"/>
    <w:multiLevelType w:val="hybridMultilevel"/>
    <w:lvl w:ilvl="0">
      <w:lvlJc w:val="left"/>
      <w:lvlText w:val="1"/>
      <w:numFmt w:val="bullet"/>
      <w:start w:val="1"/>
    </w:lvl>
    <w:lvl w:ilvl="1">
      <w:lvlJc w:val="left"/>
      <w:lvlText w:val="%2."/>
      <w:numFmt w:val="lowerLetter"/>
      <w:start w:val="1"/>
    </w:lvl>
  </w:abstractNum>
  <w:abstractNum w:abstractNumId="65">
    <w:nsid w:val="7D5E18F8"/>
    <w:multiLevelType w:val="hybridMultilevel"/>
    <w:lvl w:ilvl="0">
      <w:lvlJc w:val="left"/>
      <w:lvlText w:val="2"/>
      <w:numFmt w:val="bullet"/>
      <w:start w:val="1"/>
    </w:lvl>
  </w:abstractNum>
  <w:abstractNum w:abstractNumId="66">
    <w:nsid w:val="5F3534A4"/>
    <w:multiLevelType w:val="hybridMultilevel"/>
    <w:lvl w:ilvl="0">
      <w:lvlJc w:val="left"/>
      <w:lvlText w:val="3"/>
      <w:numFmt w:val="bullet"/>
      <w:start w:val="1"/>
    </w:lvl>
    <w:lvl w:ilvl="1">
      <w:lvlJc w:val="left"/>
      <w:lvlText w:val="%2."/>
      <w:numFmt w:val="lowerLetter"/>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
      <w:numFmt w:val="bullet"/>
      <w:start w:val="1"/>
    </w:lvl>
  </w:abstractNum>
  <w:abstractNum w:abstractNumId="71">
    <w:nsid w:val="14FCE74E"/>
    <w:multiLevelType w:val="hybridMultilevel"/>
    <w:lvl w:ilvl="0">
      <w:lvlJc w:val="left"/>
      <w:lvlText w:val="1"/>
      <w:numFmt w:val="bullet"/>
      <w:start w:val="1"/>
    </w:lvl>
  </w:abstractNum>
  <w:abstractNum w:abstractNumId="72">
    <w:nsid w:val="6A3DD3E8"/>
    <w:multiLevelType w:val="hybridMultilevel"/>
    <w:lvl w:ilvl="0">
      <w:lvlJc w:val="left"/>
      <w:lvlText w:val="2"/>
      <w:numFmt w:val="bullet"/>
      <w:start w:val="1"/>
    </w:lvl>
  </w:abstractNum>
  <w:abstractNum w:abstractNumId="73">
    <w:nsid w:val="71C91298"/>
    <w:multiLevelType w:val="hybridMultilevel"/>
    <w:lvl w:ilvl="0">
      <w:lvlJc w:val="left"/>
      <w:lvlText w:val="3"/>
      <w:numFmt w:val="bullet"/>
      <w:start w:val="1"/>
    </w:lvl>
  </w:abstractNum>
  <w:abstractNum w:abstractNumId="74">
    <w:nsid w:val="9DAF632"/>
    <w:multiLevelType w:val="hybridMultilevel"/>
    <w:lvl w:ilvl="0">
      <w:lvlJc w:val="left"/>
      <w:lvlText w:val="4"/>
      <w:numFmt w:val="bullet"/>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1"/>
      <w:numFmt w:val="bullet"/>
      <w:start w:val="1"/>
    </w:lvl>
  </w:abstractNum>
  <w:abstractNum w:abstractNumId="77">
    <w:nsid w:val="5092CA79"/>
    <w:multiLevelType w:val="hybridMultilevel"/>
    <w:lvl w:ilvl="0">
      <w:lvlJc w:val="left"/>
      <w:lvlText w:val="2"/>
      <w:numFmt w:val="bullet"/>
      <w:start w:val="1"/>
    </w:lvl>
  </w:abstractNum>
  <w:abstractNum w:abstractNumId="78">
    <w:nsid w:val="1D545C4D"/>
    <w:multiLevelType w:val="hybridMultilevel"/>
    <w:lvl w:ilvl="0">
      <w:lvlJc w:val="left"/>
      <w:lvlText w:val="3"/>
      <w:numFmt w:val="bullet"/>
      <w:start w:val="1"/>
    </w:lvl>
  </w:abstractNum>
  <w:abstractNum w:abstractNumId="79">
    <w:nsid w:val="59ADEA3D"/>
    <w:multiLevelType w:val="hybridMultilevel"/>
    <w:lvl w:ilvl="0">
      <w:lvlJc w:val="left"/>
      <w:lvlText w:val="4"/>
      <w:numFmt w:val="bullet"/>
      <w:start w:val="1"/>
    </w:lvl>
  </w:abstractNum>
  <w:abstractNum w:abstractNumId="80">
    <w:nsid w:val="288F1A34"/>
    <w:multiLevelType w:val="hybridMultilevel"/>
    <w:lvl w:ilvl="0">
      <w:lvlJc w:val="left"/>
      <w:lvlText w:val="5"/>
      <w:numFmt w:val="bullet"/>
      <w:start w:val="1"/>
    </w:lvl>
  </w:abstractNum>
  <w:abstractNum w:abstractNumId="81">
    <w:nsid w:val="2A155DBC"/>
    <w:multiLevelType w:val="hybridMultilevel"/>
    <w:lvl w:ilvl="0">
      <w:lvlJc w:val="left"/>
      <w:lvlText w:val="6"/>
      <w:numFmt w:val="bullet"/>
      <w:start w:val="1"/>
    </w:lvl>
  </w:abstractNum>
  <w:abstractNum w:abstractNumId="82">
    <w:nsid w:val="1D9F6E5F"/>
    <w:multiLevelType w:val="hybridMultilevel"/>
    <w:lvl w:ilvl="0">
      <w:lvlJc w:val="left"/>
      <w:lvlText w:val="7"/>
      <w:numFmt w:val="bullet"/>
      <w:start w:val="1"/>
    </w:lvl>
  </w:abstractNum>
  <w:abstractNum w:abstractNumId="83">
    <w:nsid w:val="97E1B4E"/>
    <w:multiLevelType w:val="hybridMultilevel"/>
    <w:lvl w:ilvl="0">
      <w:lvlJc w:val="left"/>
      <w:lvlText w:val="8"/>
      <w:numFmt w:val="bullet"/>
      <w:start w:val="1"/>
    </w:lvl>
  </w:abstractNum>
  <w:abstractNum w:abstractNumId="84">
    <w:nsid w:val="51088277"/>
    <w:multiLevelType w:val="hybridMultilevel"/>
    <w:lvl w:ilvl="0">
      <w:lvlJc w:val="left"/>
      <w:lvlText w:val="9"/>
      <w:numFmt w:val="bullet"/>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1"/>
      <w:numFmt w:val="bullet"/>
      <w:start w:val="1"/>
    </w:lvl>
  </w:abstractNum>
  <w:abstractNum w:abstractNumId="87">
    <w:nsid w:val="415E286C"/>
    <w:multiLevelType w:val="hybridMultilevel"/>
    <w:lvl w:ilvl="0">
      <w:lvlJc w:val="left"/>
      <w:lvlText w:val="2"/>
      <w:numFmt w:val="bullet"/>
      <w:start w:val="1"/>
    </w:lvl>
  </w:abstractNum>
  <w:abstractNum w:abstractNumId="88">
    <w:nsid w:val="7C58FD05"/>
    <w:multiLevelType w:val="hybridMultilevel"/>
    <w:lvl w:ilvl="0">
      <w:lvlJc w:val="left"/>
      <w:lvlText w:val="3"/>
      <w:numFmt w:val="bullet"/>
      <w:start w:val="1"/>
    </w:lvl>
  </w:abstractNum>
  <w:abstractNum w:abstractNumId="89">
    <w:nsid w:val="23D86AAC"/>
    <w:multiLevelType w:val="hybridMultilevel"/>
    <w:lvl w:ilvl="0">
      <w:lvlJc w:val="left"/>
      <w:lvlText w:val="4"/>
      <w:numFmt w:val="bullet"/>
      <w:start w:val="1"/>
    </w:lvl>
  </w:abstractNum>
  <w:abstractNum w:abstractNumId="90">
    <w:nsid w:val="45E6D486"/>
    <w:multiLevelType w:val="hybridMultilevel"/>
    <w:lvl w:ilvl="0">
      <w:lvlJc w:val="left"/>
      <w:lvlText w:val="%1:"/>
      <w:numFmt w:val="upperLetter"/>
      <w:start w:val="1"/>
    </w:lvl>
  </w:abstractNum>
  <w:abstractNum w:abstractNumId="91">
    <w:nsid w:val="5C10FE21"/>
    <w:multiLevelType w:val="hybridMultilevel"/>
    <w:lvl w:ilvl="0">
      <w:lvlJc w:val="left"/>
      <w:lvlText w:val="%1:"/>
      <w:numFmt w:val="upperLetter"/>
      <w:start w:val="1"/>
    </w:lvl>
  </w:abstractNum>
  <w:abstractNum w:abstractNumId="92">
    <w:nsid w:val="E7FFA2B"/>
    <w:multiLevelType w:val="hybridMultilevel"/>
    <w:lvl w:ilvl="0">
      <w:lvlJc w:val="left"/>
      <w:lvlText w:val="%1:"/>
      <w:numFmt w:val="upperLetter"/>
      <w:start w:val="1"/>
    </w:lvl>
  </w:abstractNum>
  <w:abstractNum w:abstractNumId="93">
    <w:nsid w:val="3C5991AA"/>
    <w:multiLevelType w:val="hybridMultilevel"/>
    <w:lvl w:ilvl="0">
      <w:lvlJc w:val="left"/>
      <w:lvlText w:val="%1:"/>
      <w:numFmt w:val="upperLetter"/>
      <w:start w:val="17"/>
    </w:lvl>
  </w:abstractNum>
  <w:abstractNum w:abstractNumId="94">
    <w:nsid w:val="4BD8591A"/>
    <w:multiLevelType w:val="hybridMultilevel"/>
    <w:lvl w:ilvl="0">
      <w:lvlJc w:val="left"/>
      <w:lvlText w:val="%1:"/>
      <w:numFmt w:val="upperLetter"/>
      <w:start w:val="1"/>
    </w:lvl>
  </w:abstractNum>
  <w:abstractNum w:abstractNumId="95">
    <w:nsid w:val="78DF6A55"/>
    <w:multiLevelType w:val="hybridMultilevel"/>
    <w:lvl w:ilvl="0">
      <w:lvlJc w:val="left"/>
      <w:lvlText w:val="%1:"/>
      <w:numFmt w:val="upperLetter"/>
      <w:start w:val="1"/>
    </w:lvl>
  </w:abstractNum>
  <w:abstractNum w:abstractNumId="96">
    <w:nsid w:val="39B7AAA2"/>
    <w:multiLevelType w:val="hybridMultilevel"/>
    <w:lvl w:ilvl="0">
      <w:lvlJc w:val="left"/>
      <w:lvlText w:val="%1:"/>
      <w:numFmt w:val="upperLetter"/>
      <w:start w:val="1"/>
    </w:lvl>
  </w:abstractNum>
  <w:abstractNum w:abstractNumId="97">
    <w:nsid w:val="2B0D8DBE"/>
    <w:multiLevelType w:val="hybridMultilevel"/>
    <w:lvl w:ilvl="0">
      <w:lvlJc w:val="left"/>
      <w:lvlText w:val="%1:"/>
      <w:numFmt w:val="upperLetter"/>
      <w:start w:val="1"/>
    </w:lvl>
  </w:abstractNum>
  <w:abstractNum w:abstractNumId="98">
    <w:nsid w:val="6C80EC70"/>
    <w:multiLevelType w:val="hybridMultilevel"/>
    <w:lvl w:ilvl="0">
      <w:lvlJc w:val="left"/>
      <w:lvlText w:val="%1:"/>
      <w:numFmt w:val="upperLetter"/>
      <w:start w:val="1"/>
    </w:lvl>
  </w:abstractNum>
  <w:abstractNum w:abstractNumId="99">
    <w:nsid w:val="379E21B5"/>
    <w:multiLevelType w:val="hybridMultilevel"/>
    <w:lvl w:ilvl="0">
      <w:lvlJc w:val="left"/>
      <w:lvlText w:val="%1:"/>
      <w:numFmt w:val="upperLetter"/>
      <w:start w:val="1"/>
    </w:lvl>
  </w:abstractNum>
  <w:abstractNum w:abstractNumId="100">
    <w:nsid w:val="69E373"/>
    <w:multiLevelType w:val="hybridMultilevel"/>
    <w:lvl w:ilvl="0">
      <w:lvlJc w:val="left"/>
      <w:lvlText w:val="%1:"/>
      <w:numFmt w:val="upperLetter"/>
      <w:start w:val="17"/>
    </w:lvl>
  </w:abstractNum>
  <w:abstractNum w:abstractNumId="101">
    <w:nsid w:val="2C27173B"/>
    <w:multiLevelType w:val="hybridMultilevel"/>
    <w:lvl w:ilvl="0">
      <w:lvlJc w:val="left"/>
      <w:lvlText w:val="%1:"/>
      <w:numFmt w:val="upperLetter"/>
      <w:start w:val="1"/>
    </w:lvl>
  </w:abstractNum>
  <w:abstractNum w:abstractNumId="102">
    <w:nsid w:val="4C9B0904"/>
    <w:multiLevelType w:val="hybridMultilevel"/>
    <w:lvl w:ilvl="0">
      <w:lvlJc w:val="left"/>
      <w:lvlText w:val="%1:"/>
      <w:numFmt w:val="upperLetter"/>
      <w:start w:val="1"/>
    </w:lvl>
  </w:abstractNum>
  <w:abstractNum w:abstractNumId="103">
    <w:nsid w:val="6AA7B75C"/>
    <w:multiLevelType w:val="hybridMultilevel"/>
    <w:lvl w:ilvl="0">
      <w:lvlJc w:val="left"/>
      <w:lvlText w:val="%1:"/>
      <w:numFmt w:val="upperLetter"/>
      <w:start w:val="1"/>
    </w:lvl>
    <w:lvl w:ilvl="1">
      <w:lvlJc w:val="left"/>
      <w:lvlText w:val="•"/>
      <w:numFmt w:val="bullet"/>
      <w:start w:val="1"/>
    </w:lvl>
  </w:abstractNum>
  <w:abstractNum w:abstractNumId="104">
    <w:nsid w:val="1DF029D3"/>
    <w:multiLevelType w:val="hybridMultilevel"/>
    <w:lvl w:ilvl="0">
      <w:lvlJc w:val="left"/>
      <w:lvlText w:val="%1:"/>
      <w:numFmt w:val="upperLetter"/>
      <w:start w:val="17"/>
    </w:lvl>
  </w:abstractNum>
  <w:abstractNum w:abstractNumId="105">
    <w:nsid w:val="5675FF36"/>
    <w:multiLevelType w:val="hybridMultilevel"/>
    <w:lvl w:ilvl="0">
      <w:lvlJc w:val="left"/>
      <w:lvlText w:val="%1:"/>
      <w:numFmt w:val="upperLetter"/>
      <w:start w:val="1"/>
    </w:lvl>
    <w:lvl w:ilvl="1">
      <w:lvlJc w:val="left"/>
      <w:lvlText w:val="•"/>
      <w:numFmt w:val="bullet"/>
      <w:start w:val="1"/>
    </w:lvl>
  </w:abstractNum>
  <w:abstractNum w:abstractNumId="106">
    <w:nsid w:val="3DD15094"/>
    <w:multiLevelType w:val="hybridMultilevel"/>
    <w:lvl w:ilvl="0">
      <w:lvlJc w:val="left"/>
      <w:lvlText w:val="%1:"/>
      <w:numFmt w:val="upperLetter"/>
      <w:start w:val="17"/>
    </w:lvl>
  </w:abstractNum>
  <w:abstractNum w:abstractNumId="107">
    <w:nsid w:val="3DB012B3"/>
    <w:multiLevelType w:val="hybridMultilevel"/>
    <w:lvl w:ilvl="0">
      <w:lvlJc w:val="left"/>
      <w:lvlText w:val="%1:"/>
      <w:numFmt w:val="upperLetter"/>
      <w:start w:val="1"/>
    </w:lvl>
    <w:lvl w:ilvl="1">
      <w:lvlJc w:val="left"/>
      <w:lvlText w:val="•"/>
      <w:numFmt w:val="bullet"/>
      <w:start w:val="1"/>
    </w:lvl>
  </w:abstractNum>
  <w:abstractNum w:abstractNumId="108">
    <w:nsid w:val="2708C9AF"/>
    <w:multiLevelType w:val="hybridMultilevel"/>
    <w:lvl w:ilvl="0">
      <w:lvlJc w:val="left"/>
      <w:lvlText w:val="%1:"/>
      <w:numFmt w:val="upperLetter"/>
      <w:start w:val="17"/>
    </w:lvl>
  </w:abstractNum>
  <w:abstractNum w:abstractNumId="109">
    <w:nsid w:val="5B25ACE2"/>
    <w:multiLevelType w:val="hybridMultilevel"/>
    <w:lvl w:ilvl="0">
      <w:lvlJc w:val="left"/>
      <w:lvlText w:val="%1:"/>
      <w:numFmt w:val="upperLetter"/>
      <w:start w:val="1"/>
    </w:lvl>
    <w:lvl w:ilvl="1">
      <w:lvlJc w:val="left"/>
      <w:lvlText w:val="•"/>
      <w:numFmt w:val="bullet"/>
      <w:start w:val="1"/>
    </w:lvl>
  </w:abstractNum>
  <w:abstractNum w:abstractNumId="110">
    <w:nsid w:val="175DFCF0"/>
    <w:multiLevelType w:val="hybridMultilevel"/>
    <w:lvl w:ilvl="0">
      <w:lvlJc w:val="left"/>
      <w:lvlText w:val="%1:"/>
      <w:numFmt w:val="upperLetter"/>
      <w:start w:val="17"/>
    </w:lvl>
  </w:abstractNum>
  <w:abstractNum w:abstractNumId="111">
    <w:nsid w:val="4F97E3E4"/>
    <w:multiLevelType w:val="hybridMultilevel"/>
    <w:lvl w:ilvl="0">
      <w:lvlJc w:val="left"/>
      <w:lvlText w:val="%1:"/>
      <w:numFmt w:val="upperLetter"/>
      <w:start w:val="1"/>
    </w:lvl>
    <w:lvl w:ilvl="1">
      <w:lvlJc w:val="left"/>
      <w:lvlText w:val="•"/>
      <w:numFmt w:val="bullet"/>
      <w:start w:val="1"/>
    </w:lvl>
  </w:abstractNum>
  <w:abstractNum w:abstractNumId="112">
    <w:nsid w:val="53B0A9E"/>
    <w:multiLevelType w:val="hybridMultilevel"/>
    <w:lvl w:ilvl="0">
      <w:lvlJc w:val="left"/>
      <w:lvlText w:val="%1:"/>
      <w:numFmt w:val="upperLetter"/>
      <w:start w:val="1"/>
    </w:lvl>
    <w:lvl w:ilvl="1">
      <w:lvlJc w:val="left"/>
      <w:lvlText w:val="•"/>
      <w:numFmt w:val="bullet"/>
      <w:start w:val="1"/>
    </w:lvl>
  </w:abstractNum>
  <w:abstractNum w:abstractNumId="113">
    <w:nsid w:val="34FD6B4F"/>
    <w:multiLevelType w:val="hybridMultilevel"/>
    <w:lvl w:ilvl="0">
      <w:lvlJc w:val="left"/>
      <w:lvlText w:val="%1:"/>
      <w:numFmt w:val="upperLetter"/>
      <w:start w:val="1"/>
    </w:lvl>
    <w:lvl w:ilvl="1">
      <w:lvlJc w:val="left"/>
      <w:lvlText w:val="•"/>
      <w:numFmt w:val="bullet"/>
      <w:start w:val="1"/>
    </w:lvl>
  </w:abstractNum>
  <w:abstractNum w:abstractNumId="114">
    <w:nsid w:val="5915FF32"/>
    <w:multiLevelType w:val="hybridMultilevel"/>
    <w:lvl w:ilvl="0">
      <w:lvlJc w:val="left"/>
      <w:lvlText w:val="%1:"/>
      <w:numFmt w:val="upperLetter"/>
      <w:start w:val="17"/>
    </w:lvl>
  </w:abstractNum>
  <w:abstractNum w:abstractNumId="115">
    <w:nsid w:val="56438D15"/>
    <w:multiLevelType w:val="hybridMultilevel"/>
    <w:lvl w:ilvl="0">
      <w:lvlJc w:val="left"/>
      <w:lvlText w:val="%1:"/>
      <w:numFmt w:val="upperLetter"/>
      <w:start w:val="1"/>
    </w:lvl>
  </w:abstractNum>
  <w:abstractNum w:abstractNumId="116">
    <w:nsid w:val="519E3149"/>
    <w:multiLevelType w:val="hybridMultilevel"/>
    <w:lvl w:ilvl="0">
      <w:lvlJc w:val="left"/>
      <w:lvlText w:val="%1:"/>
      <w:numFmt w:val="upperLetter"/>
      <w:start w:val="1"/>
    </w:lvl>
  </w:abstractNum>
  <w:abstractNum w:abstractNumId="117">
    <w:nsid w:val="2C6E4AFD"/>
    <w:multiLevelType w:val="hybridMultilevel"/>
    <w:lvl w:ilvl="0">
      <w:lvlJc w:val="left"/>
      <w:lvlText w:val="%1:"/>
      <w:numFmt w:val="upperLetter"/>
      <w:start w:val="1"/>
    </w:lvl>
  </w:abstractNum>
  <w:abstractNum w:abstractNumId="118">
    <w:nsid w:val="17A1B582"/>
    <w:multiLevelType w:val="hybridMultilevel"/>
    <w:lvl w:ilvl="0">
      <w:lvlJc w:val="left"/>
      <w:lvlText w:val="%1:"/>
      <w:numFmt w:val="upperLetter"/>
      <w:start w:val="1"/>
    </w:lvl>
  </w:abstractNum>
  <w:abstractNum w:abstractNumId="119">
    <w:nsid w:val="4DF72E4E"/>
    <w:multiLevelType w:val="hybridMultilevel"/>
    <w:lvl w:ilvl="0">
      <w:lvlJc w:val="left"/>
      <w:lvlText w:val="%1:"/>
      <w:numFmt w:val="upperLetter"/>
      <w:start w:val="1"/>
    </w:lvl>
  </w:abstractNum>
  <w:abstractNum w:abstractNumId="120">
    <w:nsid w:val="5046B5A9"/>
    <w:multiLevelType w:val="hybridMultilevel"/>
    <w:lvl w:ilvl="0">
      <w:lvlJc w:val="left"/>
      <w:lvlText w:val="%1:"/>
      <w:numFmt w:val="upperLetter"/>
      <w:start w:val="17"/>
    </w:lvl>
  </w:abstractNum>
  <w:abstractNum w:abstractNumId="121">
    <w:nsid w:val="5D888A08"/>
    <w:multiLevelType w:val="hybridMultilevel"/>
    <w:lvl w:ilvl="0">
      <w:lvlJc w:val="left"/>
      <w:lvlText w:val="%1:"/>
      <w:numFmt w:val="upperLetter"/>
      <w:start w:val="1"/>
    </w:lvl>
    <w:lvl w:ilvl="1">
      <w:lvlJc w:val="left"/>
      <w:lvlText w:val="•"/>
      <w:numFmt w:val="bullet"/>
      <w:start w:val="1"/>
    </w:lvl>
  </w:abstractNum>
  <w:abstractNum w:abstractNumId="122">
    <w:nsid w:val="2A082C70"/>
    <w:multiLevelType w:val="hybridMultilevel"/>
    <w:lvl w:ilvl="0">
      <w:lvlJc w:val="left"/>
      <w:lvlText w:val="%1:"/>
      <w:numFmt w:val="upperLetter"/>
      <w:start w:val="1"/>
    </w:lvl>
  </w:abstractNum>
  <w:abstractNum w:abstractNumId="123">
    <w:nsid w:val="5EC6AFD4"/>
    <w:multiLevelType w:val="hybridMultilevel"/>
    <w:lvl w:ilvl="0">
      <w:lvlJc w:val="left"/>
      <w:lvlText w:val="%1:"/>
      <w:numFmt w:val="upperLetter"/>
      <w:start w:val="1"/>
    </w:lvl>
  </w:abstractNum>
  <w:abstractNum w:abstractNumId="124">
    <w:nsid w:val="19E21BB2"/>
    <w:multiLevelType w:val="hybridMultilevel"/>
    <w:lvl w:ilvl="0">
      <w:lvlJc w:val="left"/>
      <w:lvlText w:val="%1:"/>
      <w:numFmt w:val="upperLetter"/>
      <w:start w:val="1"/>
    </w:lvl>
  </w:abstractNum>
  <w:abstractNum w:abstractNumId="125">
    <w:nsid w:val="75E0858A"/>
    <w:multiLevelType w:val="hybridMultilevel"/>
    <w:lvl w:ilvl="0">
      <w:lvlJc w:val="left"/>
      <w:lvlText w:val="%1:"/>
      <w:numFmt w:val="upperLetter"/>
      <w:start w:val="17"/>
    </w:lvl>
  </w:abstractNum>
  <w:abstractNum w:abstractNumId="126">
    <w:nsid w:val="57A61A29"/>
    <w:multiLevelType w:val="hybridMultilevel"/>
    <w:lvl w:ilvl="0">
      <w:lvlJc w:val="left"/>
      <w:lvlText w:val="%1:"/>
      <w:numFmt w:val="upperLetter"/>
      <w:start w:val="1"/>
    </w:lvl>
    <w:lvl w:ilvl="1">
      <w:lvlJc w:val="left"/>
      <w:lvlText w:val="•"/>
      <w:numFmt w:val="bullet"/>
      <w:start w:val="1"/>
    </w:lvl>
  </w:abstractNum>
  <w:abstractNum w:abstractNumId="127">
    <w:nsid w:val="5399C654"/>
    <w:multiLevelType w:val="hybridMultilevel"/>
    <w:lvl w:ilvl="0">
      <w:lvlJc w:val="left"/>
      <w:lvlText w:val="%1:"/>
      <w:numFmt w:val="upperLetter"/>
      <w:start w:val="16"/>
    </w:lvl>
    <w:lvl w:ilvl="1">
      <w:lvlJc w:val="left"/>
      <w:lvlText w:val="•"/>
      <w:numFmt w:val="bullet"/>
      <w:start w:val="1"/>
    </w:lvl>
  </w:abstractNum>
  <w:abstractNum w:abstractNumId="128">
    <w:nsid w:val="20EE1348"/>
    <w:multiLevelType w:val="hybridMultilevel"/>
    <w:lvl w:ilvl="0">
      <w:lvlJc w:val="left"/>
      <w:lvlText w:val="%1:"/>
      <w:numFmt w:val="upperLetter"/>
      <w:start w:val="1"/>
    </w:lvl>
    <w:lvl w:ilvl="1">
      <w:lvlJc w:val="left"/>
      <w:lvlText w:val="%2."/>
      <w:numFmt w:val="decimal"/>
      <w:start w:val="1"/>
    </w:lvl>
  </w:abstractNum>
  <w:abstractNum w:abstractNumId="129">
    <w:nsid w:val="4427069A"/>
    <w:multiLevelType w:val="hybridMultilevel"/>
    <w:lvl w:ilvl="0">
      <w:lvlJc w:val="left"/>
      <w:lvlText w:val="%1:"/>
      <w:numFmt w:val="upperLetter"/>
      <w:start w:val="1"/>
    </w:lvl>
  </w:abstractNum>
  <w:abstractNum w:abstractNumId="130">
    <w:nsid w:val="B37E80A"/>
    <w:multiLevelType w:val="hybridMultilevel"/>
    <w:lvl w:ilvl="0">
      <w:lvlJc w:val="left"/>
      <w:lvlText w:val="%1:"/>
      <w:numFmt w:val="upperLetter"/>
      <w:start w:val="17"/>
    </w:lvl>
  </w:abstractNum>
  <w:abstractNum w:abstractNumId="131">
    <w:nsid w:val="2157F6BC"/>
    <w:multiLevelType w:val="hybridMultilevel"/>
    <w:lvl w:ilvl="0">
      <w:lvlJc w:val="left"/>
      <w:lvlText w:val="%1:"/>
      <w:numFmt w:val="upperLetter"/>
      <w:start w:val="1"/>
    </w:lvl>
  </w:abstractNum>
  <w:abstractNum w:abstractNumId="132">
    <w:nsid w:val="704E1DD5"/>
    <w:multiLevelType w:val="hybridMultilevel"/>
    <w:lvl w:ilvl="0">
      <w:lvlJc w:val="left"/>
      <w:lvlText w:val="%1:"/>
      <w:numFmt w:val="upperLetter"/>
      <w:start w:val="1"/>
    </w:lvl>
  </w:abstractNum>
  <w:abstractNum w:abstractNumId="133">
    <w:nsid w:val="57D2F10E"/>
    <w:multiLevelType w:val="hybridMultilevel"/>
    <w:lvl w:ilvl="0">
      <w:lvlJc w:val="left"/>
      <w:lvlText w:val="•"/>
      <w:numFmt w:val="bullet"/>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2021-03-30T12:38:14Z</dcterms:created>
  <dcterms:modified xsi:type="dcterms:W3CDTF">2021-03-30T12:38:14Z</dcterms:modified>
</cp:coreProperties>
</file>